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5"/>
        <w:gridCol w:w="4274"/>
        <w:gridCol w:w="1540"/>
        <w:gridCol w:w="4287"/>
        <w:gridCol w:w="329"/>
      </w:tblGrid>
      <w:tr w:rsidR="00EC1C3A" w:rsidRPr="00EC1C3A" w:rsidTr="00163137">
        <w:trPr>
          <w:cantSplit/>
          <w:trHeight w:val="2206"/>
        </w:trPr>
        <w:tc>
          <w:tcPr>
            <w:tcW w:w="2122" w:type="pct"/>
            <w:gridSpan w:val="2"/>
          </w:tcPr>
          <w:p w:rsidR="00EC1C3A" w:rsidRPr="00EC1C3A" w:rsidRDefault="00EC1C3A" w:rsidP="00EC1C3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EC1C3A" w:rsidRPr="00EC1C3A" w:rsidRDefault="00EC1C3A" w:rsidP="00EC1C3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EC1C3A" w:rsidRPr="00EC1C3A" w:rsidRDefault="00EC1C3A" w:rsidP="00EC1C3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EC1C3A" w:rsidRPr="00EC1C3A" w:rsidRDefault="00EC1C3A" w:rsidP="00EC1C3A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C1C3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EC1C3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EC1C3A" w:rsidRPr="00EC1C3A" w:rsidRDefault="00EC1C3A" w:rsidP="00EC1C3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EC1C3A" w:rsidRPr="00EC1C3A" w:rsidRDefault="00EC1C3A" w:rsidP="00EC1C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EC1C3A" w:rsidRPr="00EC1C3A" w:rsidRDefault="00EC1C3A" w:rsidP="00EC1C3A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0D8848" wp14:editId="6E320A58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C1C3A" w:rsidRPr="00EC1C3A" w:rsidRDefault="00EC1C3A" w:rsidP="00EC1C3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C1C3A" w:rsidRPr="00EC1C3A" w:rsidRDefault="00EC1C3A" w:rsidP="00EC1C3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C1C3A" w:rsidRPr="00EC1C3A" w:rsidRDefault="00EC1C3A" w:rsidP="00EC1C3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EC1C3A" w:rsidRPr="00EC1C3A" w:rsidRDefault="00EC1C3A" w:rsidP="00EC1C3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EC1C3A" w:rsidRPr="00EC1C3A" w:rsidRDefault="00EC1C3A" w:rsidP="00EC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EC1C3A" w:rsidRPr="00EC1C3A" w:rsidTr="00163137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C3A" w:rsidRPr="00EC1C3A" w:rsidRDefault="00EC1C3A" w:rsidP="00EC1C3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C1C3A" w:rsidRPr="00EC1C3A" w:rsidRDefault="00EC1C3A" w:rsidP="00EC1C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C1C3A" w:rsidRPr="00EC1C3A" w:rsidTr="00163137">
        <w:tc>
          <w:tcPr>
            <w:tcW w:w="3190" w:type="dxa"/>
            <w:hideMark/>
          </w:tcPr>
          <w:p w:rsidR="00EC1C3A" w:rsidRPr="00EC1C3A" w:rsidRDefault="00EC1C3A" w:rsidP="00EC1C3A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EC1C3A" w:rsidRPr="00EC1C3A" w:rsidRDefault="00EC1C3A" w:rsidP="00EC1C3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EC1C3A" w:rsidRPr="00EC1C3A" w:rsidRDefault="00EC1C3A" w:rsidP="00EC1C3A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 xml:space="preserve">          ПОСТАНОВЛЕНИЕ</w:t>
            </w:r>
          </w:p>
        </w:tc>
      </w:tr>
      <w:tr w:rsidR="00EC1C3A" w:rsidRPr="00EC1C3A" w:rsidTr="00163137">
        <w:tc>
          <w:tcPr>
            <w:tcW w:w="3190" w:type="dxa"/>
            <w:hideMark/>
          </w:tcPr>
          <w:p w:rsidR="00EC1C3A" w:rsidRPr="00EC1C3A" w:rsidRDefault="00EC1C3A" w:rsidP="00EC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март</w:t>
            </w: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EC1C3A" w:rsidRPr="00EC1C3A" w:rsidRDefault="00EC1C3A" w:rsidP="00EC1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№23</w:t>
            </w:r>
          </w:p>
        </w:tc>
        <w:tc>
          <w:tcPr>
            <w:tcW w:w="3191" w:type="dxa"/>
            <w:hideMark/>
          </w:tcPr>
          <w:p w:rsidR="00EC1C3A" w:rsidRPr="00EC1C3A" w:rsidRDefault="00EC1C3A" w:rsidP="00EC1C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марта</w:t>
            </w: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2016 г.</w:t>
            </w:r>
          </w:p>
        </w:tc>
      </w:tr>
    </w:tbl>
    <w:p w:rsid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нормирования в сфере закупок  товаров,  работ,  </w:t>
      </w:r>
    </w:p>
    <w:p w:rsidR="00EC1C3A" w:rsidRP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для обеспечения муниципальных нужд  сельского  поселения </w:t>
      </w:r>
    </w:p>
    <w:p w:rsidR="00EC1C3A" w:rsidRP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</w:t>
      </w:r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EC1C3A" w:rsidRP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EC1C3A" w:rsidRPr="00EC1C3A" w:rsidRDefault="00EC1C3A" w:rsidP="00E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hd w:val="clear" w:color="auto" w:fill="FFFFFF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сельского  поселения Бель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EC1C3A" w:rsidRPr="00EC1C3A" w:rsidRDefault="00EC1C3A" w:rsidP="00EC1C3A">
      <w:pPr>
        <w:tabs>
          <w:tab w:val="left" w:pos="72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C3A" w:rsidRPr="00EC1C3A" w:rsidRDefault="00EC1C3A" w:rsidP="00EC1C3A">
      <w:pPr>
        <w:tabs>
          <w:tab w:val="left" w:pos="72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C1C3A" w:rsidRPr="00EC1C3A" w:rsidRDefault="00EC1C3A" w:rsidP="00E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tabs>
          <w:tab w:val="left" w:pos="751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C3A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1.Утвердить прилагаемые Правила нормирования в сфере закупок товаров, работ, услуг для обеспечения муниципальных нужд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EC1C3A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1C3A">
        <w:rPr>
          <w:rFonts w:ascii="Arial New Bash" w:eastAsia="Times New Roman" w:hAnsi="Arial New Bash" w:cs="Times New Roman"/>
          <w:sz w:val="28"/>
          <w:szCs w:val="28"/>
          <w:lang w:eastAsia="ru-RU"/>
        </w:rPr>
        <w:t>Гафурийский</w:t>
      </w:r>
      <w:proofErr w:type="spellEnd"/>
      <w:r w:rsidRPr="00EC1C3A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район Республики Башкортостан.</w:t>
      </w:r>
      <w:r w:rsidRPr="00EC1C3A">
        <w:rPr>
          <w:rFonts w:ascii="Arial New Bash" w:eastAsia="Times New Roman" w:hAnsi="Arial New Bash" w:cs="Times New Roman"/>
          <w:sz w:val="28"/>
          <w:szCs w:val="20"/>
          <w:lang w:eastAsia="ru-RU"/>
        </w:rPr>
        <w:t xml:space="preserve"> </w:t>
      </w:r>
    </w:p>
    <w:p w:rsidR="00EC1C3A" w:rsidRPr="00EC1C3A" w:rsidRDefault="00EC1C3A" w:rsidP="00EC1C3A">
      <w:pPr>
        <w:tabs>
          <w:tab w:val="left" w:pos="751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EC1C3A">
        <w:rPr>
          <w:rFonts w:ascii="Arial New Bash" w:eastAsia="Times New Roman" w:hAnsi="Arial New Bash" w:cs="Times New Roman"/>
          <w:sz w:val="28"/>
          <w:szCs w:val="20"/>
          <w:lang w:eastAsia="ru-RU"/>
        </w:rPr>
        <w:t xml:space="preserve">Настоящее Постановление обнародовать на информационном стенде  и  разместить 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EC1C3A">
        <w:rPr>
          <w:rFonts w:ascii="Arial New Bash" w:eastAsia="Times New Roman" w:hAnsi="Arial New Bash" w:cs="Times New Roman"/>
          <w:sz w:val="28"/>
          <w:szCs w:val="20"/>
          <w:lang w:eastAsia="ru-RU"/>
        </w:rPr>
        <w:t xml:space="preserve"> </w:t>
      </w:r>
      <w:r>
        <w:rPr>
          <w:rFonts w:ascii="Arial New Bash" w:eastAsia="Times New Roman" w:hAnsi="Arial New Bash" w:cs="Times New Roman"/>
          <w:sz w:val="28"/>
          <w:szCs w:val="20"/>
          <w:lang w:eastAsia="ru-RU"/>
        </w:rPr>
        <w:t>сельсовет.</w:t>
      </w:r>
    </w:p>
    <w:p w:rsidR="00EC1C3A" w:rsidRPr="00EC1C3A" w:rsidRDefault="00EC1C3A" w:rsidP="00EC1C3A">
      <w:pPr>
        <w:tabs>
          <w:tab w:val="left" w:pos="751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C1C3A" w:rsidRPr="00EC1C3A" w:rsidRDefault="00EC1C3A" w:rsidP="00E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C3A" w:rsidRPr="00EC1C3A" w:rsidRDefault="00EC1C3A" w:rsidP="00EC1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Default="00EC1C3A" w:rsidP="00EC1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поселения: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EC1C3A" w:rsidRPr="00EC1C3A" w:rsidRDefault="00EC1C3A" w:rsidP="00EC1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</w:p>
    <w:p w:rsidR="00EC1C3A" w:rsidRPr="00EC1C3A" w:rsidRDefault="00EC1C3A" w:rsidP="00EC1C3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EC1C3A" w:rsidRPr="00EC1C3A" w:rsidRDefault="00EC1C3A" w:rsidP="00EC1C3A">
      <w:pPr>
        <w:widowControl w:val="0"/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EC1C3A" w:rsidRPr="00EC1C3A" w:rsidRDefault="00EC1C3A" w:rsidP="00EC1C3A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 Бель</w:t>
      </w: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сельсовет </w:t>
      </w:r>
    </w:p>
    <w:p w:rsidR="00EC1C3A" w:rsidRPr="00EC1C3A" w:rsidRDefault="00EC1C3A" w:rsidP="00EC1C3A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МР </w:t>
      </w:r>
      <w:proofErr w:type="spellStart"/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C1C3A" w:rsidRPr="00EC1C3A" w:rsidRDefault="00EC1C3A" w:rsidP="00EC1C3A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Республики Башкортостан</w:t>
      </w:r>
    </w:p>
    <w:p w:rsidR="00EC1C3A" w:rsidRPr="00EC1C3A" w:rsidRDefault="00EC1C3A" w:rsidP="00EC1C3A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«22» марта 2016 №23</w:t>
      </w: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C1C3A" w:rsidRPr="00EC1C3A" w:rsidRDefault="00EC1C3A" w:rsidP="00EC1C3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EC1C3A" w:rsidRP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нормирования в сфере закупок товаров, работ, услуг для обеспечения  муниципальных нужд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Бельский</w:t>
      </w:r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EC1C3A" w:rsidRP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C1C3A" w:rsidRPr="00EC1C3A" w:rsidRDefault="00EC1C3A" w:rsidP="00EC1C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нормирования в сфере закупок товаров, работ, услуг для обеспечения муниципальных нужд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</w:t>
      </w:r>
      <w:proofErr w:type="gram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являющейся  главным распорядителем бюджетных средств муниципального образования, осуществляющего функции и полномочия учредителя, в подведомственности  которого, находится соответствующий заказчик (далее – главные распорядители бюджетных средств).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настоящих Правилах используются следующие термины и определения: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являющейся  главным распорядителем бюджетных средств муниципального образования, осуществляющего функции и полномочия учредителя, в подведомственности</w:t>
      </w:r>
      <w:proofErr w:type="gram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соответствующий заказчик.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1.2.2.Заказчик – </w:t>
      </w: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главный распорядитель средств бюджета сельского поселения. 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функций, предоставления муниципальных и иных услуг в соответствии с законодательством Российской Федерации.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Требования </w:t>
      </w:r>
    </w:p>
    <w:p w:rsidR="00EC1C3A" w:rsidRP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разработке правовых актов о нормировании в сфере закупок</w:t>
      </w:r>
    </w:p>
    <w:p w:rsidR="00EC1C3A" w:rsidRP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</w:t>
      </w:r>
      <w:proofErr w:type="gram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</w:t>
      </w:r>
      <w:proofErr w:type="gram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решению главного распорядителя средств бюджета  поселения 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EC1C3A" w:rsidRPr="00EC1C3A" w:rsidRDefault="00EC1C3A" w:rsidP="00EC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Требования </w:t>
      </w:r>
    </w:p>
    <w:p w:rsidR="00EC1C3A" w:rsidRP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содержанию правового акта о нормировании в сфере закупок</w:t>
      </w:r>
    </w:p>
    <w:p w:rsidR="00EC1C3A" w:rsidRPr="00EC1C3A" w:rsidRDefault="00EC1C3A" w:rsidP="00EC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 поселения.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услуг, имеющих 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в правовом акте о нормировании в сфере закупок требований о количестве</w:t>
      </w:r>
      <w:proofErr w:type="gram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услуг, подлежащих закупке, должны учитываться: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(отсутствие) факта закупки излишнего товара, работ, услуг за предыдущий двухлетний период;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бюджета  поселение  и подведомственных ему заказчиков.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 поселения  и подведомственным ему заказчиком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  на последующий период. </w:t>
      </w:r>
      <w:proofErr w:type="gramEnd"/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в правовом акте о нормировании в сфере закупок требований к качеству</w:t>
      </w:r>
      <w:proofErr w:type="gram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 поселение 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(отсутствие) претензий к качеству, потребительским свойствам, иным характеристикам товаров, работ, услуг, вызванных недостаточной 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 № 184-ФЗ  «О техническом регулировании».</w:t>
      </w:r>
      <w:proofErr w:type="gramEnd"/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главного распорядителя средств бюджета  поселения</w:t>
      </w:r>
      <w:proofErr w:type="gram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подведомственного ему заказчика.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3.11.При формировании предельной цены товаров, работ, услуг могут использоваться: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государственной статистической отчетности;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реестра контрактов;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ценах производителей;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источники информации. 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C1C3A" w:rsidRPr="00EC1C3A" w:rsidRDefault="00EC1C3A" w:rsidP="00EC1C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EC1C3A" w:rsidRPr="00EC1C3A" w:rsidRDefault="00EC1C3A" w:rsidP="00EC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proofErr w:type="gramStart"/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</w:t>
      </w:r>
      <w:proofErr w:type="gramEnd"/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потребительские свойства или </w:t>
      </w:r>
      <w:proofErr w:type="gramStart"/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proofErr w:type="gramEnd"/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предметами роскоши. 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 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Перечень формируется по группам «Товары», «Работы», «Услуги» и содержит: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4.3.2.наименование товара, работы, услуги;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4.3.3.функциональное назначение товара, работы, услуги;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4.3.6.наименование органа  местного самоуправления, который утверждает требования к приобретаемым товарам, работам, услугам.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4.4.Товары, работы, услуги включаются в  Перечень в следующих случаях: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4.4.1.приобретаемые товары, работы, услуги невозможно (сложно) однозначно связать с реальными потребностями (нуждами) заказчика, что </w:t>
      </w: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4.4.4.необходимо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4.4.5.товар, работа, услуга является комплементарным или заменителем товара, работы, услуги, которые подлежать обязательному нормированию. 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муниципальных) нужд, утвержденных в установленном порядке. </w:t>
      </w:r>
      <w:proofErr w:type="gramEnd"/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gramStart"/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proofErr w:type="gramStart"/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 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Перечень товаров, работ, услуг, подлежащих обязательному нормированию,  подлежат пересмотру в случае: 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11.3.появления  новых товаров, работ, услуг, которые могут более эффективно (с меньшими затратами) удовлетворять нужды заказчика; 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EC1C3A" w:rsidRPr="00EC1C3A" w:rsidRDefault="00EC1C3A" w:rsidP="00EC1C3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C1C3A" w:rsidRPr="00EC1C3A">
          <w:pgSz w:w="12240" w:h="15840"/>
          <w:pgMar w:top="1134" w:right="567" w:bottom="851" w:left="1701" w:header="720" w:footer="720" w:gutter="0"/>
          <w:cols w:space="720"/>
        </w:sectPr>
      </w:pPr>
    </w:p>
    <w:p w:rsidR="00EC1C3A" w:rsidRPr="00EC1C3A" w:rsidRDefault="00EC1C3A" w:rsidP="00DA1C5B">
      <w:pPr>
        <w:widowControl w:val="0"/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Приложение </w:t>
      </w:r>
    </w:p>
    <w:p w:rsidR="00EC1C3A" w:rsidRPr="00EC1C3A" w:rsidRDefault="00EC1C3A" w:rsidP="00DA1C5B">
      <w:pPr>
        <w:widowControl w:val="0"/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C1C3A" w:rsidRPr="00EC1C3A" w:rsidRDefault="00EC1C3A" w:rsidP="00DA1C5B">
      <w:pPr>
        <w:widowControl w:val="0"/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СП Бель</w:t>
      </w: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сельсовет </w:t>
      </w:r>
    </w:p>
    <w:p w:rsidR="00EC1C3A" w:rsidRPr="00EC1C3A" w:rsidRDefault="00EC1C3A" w:rsidP="00DA1C5B">
      <w:pPr>
        <w:widowControl w:val="0"/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МР </w:t>
      </w:r>
      <w:proofErr w:type="spellStart"/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C1C3A" w:rsidRPr="00EC1C3A" w:rsidRDefault="00EC1C3A" w:rsidP="00DA1C5B">
      <w:pPr>
        <w:widowControl w:val="0"/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Республики Башкортостан</w:t>
      </w:r>
    </w:p>
    <w:p w:rsidR="00EC1C3A" w:rsidRPr="00EC1C3A" w:rsidRDefault="00EC1C3A" w:rsidP="00DA1C5B">
      <w:pPr>
        <w:widowControl w:val="0"/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A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«22» марта</w:t>
      </w:r>
      <w:r w:rsidR="00DA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№23</w:t>
      </w: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C1C3A" w:rsidRPr="00EC1C3A" w:rsidRDefault="00EC1C3A" w:rsidP="00EC1C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C3A" w:rsidRPr="00EC1C3A" w:rsidRDefault="00EC1C3A" w:rsidP="00EC1C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товаров, работ, услуг, для обеспечения муниципальных нужд сельского поселения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C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E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 обязательному нормированию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1696"/>
        <w:gridCol w:w="1945"/>
        <w:gridCol w:w="2037"/>
        <w:gridCol w:w="1278"/>
        <w:gridCol w:w="2000"/>
      </w:tblGrid>
      <w:tr w:rsidR="00EC1C3A" w:rsidRPr="00EC1C3A" w:rsidTr="00EC1C3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товара, работы, услуги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Функциональное назначение товара, работы, услуги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EC1C3A" w:rsidRPr="00EC1C3A" w:rsidTr="00EC1C3A">
        <w:trPr>
          <w:trHeight w:val="27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C1C3A" w:rsidRPr="00EC1C3A" w:rsidTr="00EC1C3A">
        <w:trPr>
          <w:trHeight w:val="2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1C3A" w:rsidRPr="00EC1C3A" w:rsidTr="00EC1C3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C3A" w:rsidRPr="00EC1C3A" w:rsidTr="00EC1C3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1C3A" w:rsidRPr="00EC1C3A" w:rsidTr="00EC1C3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C3A" w:rsidRPr="00EC1C3A" w:rsidTr="00EC1C3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1C3A" w:rsidRPr="00EC1C3A" w:rsidTr="00EC1C3A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A" w:rsidRPr="00EC1C3A" w:rsidRDefault="00EC1C3A" w:rsidP="00EC1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1C3A" w:rsidRPr="00EC1C3A" w:rsidRDefault="00EC1C3A" w:rsidP="00E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3A" w:rsidRPr="00EC1C3A" w:rsidRDefault="00EC1C3A" w:rsidP="00EC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DA1C5B" w:rsidRDefault="00DA1C5B" w:rsidP="00EC1C3A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5B" w:rsidRDefault="00DA1C5B" w:rsidP="00EC1C3A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 постановлению главы</w:t>
      </w: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Бельский сельсовет  </w:t>
      </w: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A1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DA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Башкортостан</w:t>
      </w: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марта</w:t>
      </w:r>
      <w:r w:rsidRPr="00DA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 № 23</w:t>
      </w: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A1C5B" w:rsidRPr="00DA1C5B" w:rsidRDefault="00DA1C5B" w:rsidP="00D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5B" w:rsidRPr="00DA1C5B" w:rsidRDefault="00DA1C5B" w:rsidP="00DA1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 Д Е Н И Я</w:t>
      </w: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обнародовании  постановления главы сельского поселения Бельский сельсовет муниципального района </w:t>
      </w:r>
      <w:proofErr w:type="spell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2016 года №2</w:t>
      </w:r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A1C5B" w:rsidRPr="00DA1C5B" w:rsidRDefault="00DA1C5B" w:rsidP="00D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нормирования в сфере закупок  товаров,  работ,  </w:t>
      </w:r>
    </w:p>
    <w:p w:rsidR="00DA1C5B" w:rsidRPr="00DA1C5B" w:rsidRDefault="00DA1C5B" w:rsidP="00D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для обеспечения муниципальных нужд  сельского  поселения </w:t>
      </w:r>
    </w:p>
    <w:p w:rsidR="00DA1C5B" w:rsidRPr="00DA1C5B" w:rsidRDefault="00DA1C5B" w:rsidP="00D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Бельский сельсовет муниципального района </w:t>
      </w:r>
      <w:proofErr w:type="spell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DA1C5B" w:rsidRPr="00DA1C5B" w:rsidRDefault="00DA1C5B" w:rsidP="00D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</w:p>
    <w:p w:rsidR="00DA1C5B" w:rsidRPr="00DA1C5B" w:rsidRDefault="00DA1C5B" w:rsidP="00DA1C5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5B" w:rsidRPr="00DA1C5B" w:rsidRDefault="00DA1C5B" w:rsidP="00D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сельского поселения Бельский сельсовет    муниципального района </w:t>
      </w:r>
      <w:proofErr w:type="spell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</w:t>
      </w:r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«Об утверждении Правил нормирования в сфере закупок  товаров,  работ,  услуг для обеспечения муниципальных нужд  сельского  поселения Бельский сельсовет муниципального района </w:t>
      </w:r>
      <w:proofErr w:type="spell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обнародовано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</w:t>
      </w:r>
      <w:bookmarkStart w:id="0" w:name="_GoBack"/>
      <w:bookmarkEnd w:id="0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путем размещения на информационных стендах в здании администрации сельского поселения Бельский сельсовет, сельской</w:t>
      </w:r>
      <w:proofErr w:type="gram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библиотеки, Сельского Дома Культуры, по адресу: Республика Башкортостан  </w:t>
      </w:r>
      <w:proofErr w:type="spell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Инзелга</w:t>
      </w:r>
      <w:proofErr w:type="spell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Школьная, 24а, в здании сельского клуба </w:t>
      </w:r>
      <w:proofErr w:type="spell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утлугуза</w:t>
      </w:r>
      <w:proofErr w:type="spell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Республика Башкортостан, </w:t>
      </w:r>
      <w:proofErr w:type="spell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</w:t>
      </w:r>
      <w:proofErr w:type="spell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утлугуза</w:t>
      </w:r>
      <w:proofErr w:type="spell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ул.Кооперативная</w:t>
      </w:r>
      <w:proofErr w:type="spell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, 26а.</w:t>
      </w: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C5B" w:rsidRPr="00DA1C5B" w:rsidRDefault="00DA1C5B" w:rsidP="00DA1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 сельсовет</w:t>
      </w: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A1C5B" w:rsidRPr="00DA1C5B" w:rsidRDefault="00DA1C5B" w:rsidP="00DA1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</w:t>
      </w:r>
      <w:proofErr w:type="spellStart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 w:rsidRPr="00DA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</w:t>
      </w:r>
    </w:p>
    <w:p w:rsidR="002A6558" w:rsidRPr="00EC1C3A" w:rsidRDefault="00EC1C3A" w:rsidP="00EC1C3A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sectPr w:rsidR="002A6558" w:rsidRPr="00EC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60559"/>
    <w:multiLevelType w:val="multilevel"/>
    <w:tmpl w:val="2176FA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3B"/>
    <w:rsid w:val="002A6558"/>
    <w:rsid w:val="004A51F5"/>
    <w:rsid w:val="005C573B"/>
    <w:rsid w:val="00DA1C5B"/>
    <w:rsid w:val="00E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2016-04-04T06:35:00Z</cp:lastPrinted>
  <dcterms:created xsi:type="dcterms:W3CDTF">2016-03-31T03:58:00Z</dcterms:created>
  <dcterms:modified xsi:type="dcterms:W3CDTF">2016-04-04T06:35:00Z</dcterms:modified>
</cp:coreProperties>
</file>