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5"/>
        <w:gridCol w:w="1722"/>
        <w:gridCol w:w="4516"/>
      </w:tblGrid>
      <w:tr w:rsidR="004A239E" w:rsidRPr="004A239E" w14:paraId="3C4B80E5" w14:textId="77777777" w:rsidTr="00626A07">
        <w:tblPrEx>
          <w:tblCellMar>
            <w:top w:w="0" w:type="dxa"/>
            <w:bottom w:w="0" w:type="dxa"/>
          </w:tblCellMar>
        </w:tblPrEx>
        <w:trPr>
          <w:cantSplit/>
          <w:trHeight w:val="1141"/>
        </w:trPr>
        <w:tc>
          <w:tcPr>
            <w:tcW w:w="2027" w:type="pct"/>
          </w:tcPr>
          <w:p w14:paraId="3AA9FFA3" w14:textId="77777777" w:rsidR="004A239E" w:rsidRPr="004A239E" w:rsidRDefault="004A239E" w:rsidP="004A239E">
            <w:pPr>
              <w:jc w:val="center"/>
              <w:rPr>
                <w:color w:val="0070C0"/>
                <w:sz w:val="20"/>
              </w:rPr>
            </w:pPr>
            <w:r w:rsidRPr="004A239E">
              <w:rPr>
                <w:color w:val="0070C0"/>
                <w:sz w:val="20"/>
              </w:rPr>
              <w:t>БАШҠОРТОСТАН РЕСПУБЛИКАҺ</w:t>
            </w:r>
            <w:proofErr w:type="gramStart"/>
            <w:r w:rsidRPr="004A239E">
              <w:rPr>
                <w:color w:val="0070C0"/>
                <w:sz w:val="20"/>
              </w:rPr>
              <w:t>Ы</w:t>
            </w:r>
            <w:proofErr w:type="gramEnd"/>
          </w:p>
          <w:p w14:paraId="26C0D9A5" w14:textId="77777777" w:rsidR="004A239E" w:rsidRPr="004A239E" w:rsidRDefault="004A239E" w:rsidP="004A239E">
            <w:pPr>
              <w:jc w:val="center"/>
              <w:rPr>
                <w:color w:val="0070C0"/>
                <w:sz w:val="20"/>
              </w:rPr>
            </w:pPr>
            <w:r w:rsidRPr="004A239E">
              <w:rPr>
                <w:color w:val="0070C0"/>
                <w:sz w:val="20"/>
              </w:rPr>
              <w:t xml:space="preserve">ҒАФУРИ РАЙОНЫ </w:t>
            </w:r>
          </w:p>
          <w:p w14:paraId="4F6A6914" w14:textId="77777777" w:rsidR="004A239E" w:rsidRPr="004A239E" w:rsidRDefault="004A239E" w:rsidP="004A239E">
            <w:pPr>
              <w:jc w:val="center"/>
              <w:rPr>
                <w:color w:val="0070C0"/>
                <w:sz w:val="20"/>
              </w:rPr>
            </w:pPr>
            <w:r w:rsidRPr="004A239E">
              <w:rPr>
                <w:color w:val="0070C0"/>
                <w:sz w:val="20"/>
              </w:rPr>
              <w:t xml:space="preserve">МУНИЦИПАЛЬ РАЙОНЫНЫӉ </w:t>
            </w:r>
          </w:p>
          <w:p w14:paraId="404E11D0" w14:textId="77777777" w:rsidR="004A239E" w:rsidRPr="004A239E" w:rsidRDefault="004A239E" w:rsidP="004A239E">
            <w:pPr>
              <w:jc w:val="center"/>
              <w:rPr>
                <w:b/>
                <w:color w:val="0070C0"/>
                <w:sz w:val="20"/>
              </w:rPr>
            </w:pPr>
            <w:r w:rsidRPr="004A239E">
              <w:rPr>
                <w:b/>
                <w:color w:val="0070C0"/>
                <w:szCs w:val="28"/>
              </w:rPr>
              <w:t>БЕЛЬСКИЙ АУЫЛ СОВЕТЫ</w:t>
            </w:r>
            <w:r w:rsidRPr="004A239E">
              <w:rPr>
                <w:b/>
                <w:color w:val="0070C0"/>
                <w:sz w:val="20"/>
              </w:rPr>
              <w:t xml:space="preserve"> </w:t>
            </w:r>
          </w:p>
          <w:p w14:paraId="0E0E2179" w14:textId="77777777" w:rsidR="004A239E" w:rsidRPr="004A239E" w:rsidRDefault="004A239E" w:rsidP="004A239E">
            <w:pPr>
              <w:jc w:val="center"/>
              <w:rPr>
                <w:color w:val="0070C0"/>
                <w:sz w:val="20"/>
              </w:rPr>
            </w:pPr>
            <w:r w:rsidRPr="004A239E">
              <w:rPr>
                <w:color w:val="0070C0"/>
                <w:sz w:val="20"/>
              </w:rPr>
              <w:t xml:space="preserve">АУЫЛ БИЛƏМƏҺЕ </w:t>
            </w:r>
          </w:p>
          <w:p w14:paraId="4F26C851" w14:textId="77777777" w:rsidR="004A239E" w:rsidRPr="004A239E" w:rsidRDefault="004A239E" w:rsidP="004A239E">
            <w:pPr>
              <w:keepNext/>
              <w:jc w:val="center"/>
              <w:outlineLvl w:val="6"/>
              <w:rPr>
                <w:b/>
                <w:bCs/>
                <w:color w:val="auto"/>
                <w:szCs w:val="28"/>
              </w:rPr>
            </w:pPr>
            <w:r w:rsidRPr="004A239E">
              <w:rPr>
                <w:b/>
                <w:color w:val="0070C0"/>
                <w:szCs w:val="28"/>
              </w:rPr>
              <w:t>ХАКИМИƏТЕ</w:t>
            </w:r>
          </w:p>
        </w:tc>
        <w:tc>
          <w:tcPr>
            <w:tcW w:w="820" w:type="pct"/>
          </w:tcPr>
          <w:p w14:paraId="1DDFAF75" w14:textId="6BAFE38B" w:rsidR="004A239E" w:rsidRPr="004A239E" w:rsidRDefault="004A239E" w:rsidP="004A239E">
            <w:pPr>
              <w:ind w:left="-107"/>
              <w:jc w:val="right"/>
              <w:rPr>
                <w:b/>
                <w:color w:val="auto"/>
                <w:sz w:val="20"/>
              </w:rPr>
            </w:pPr>
            <w:r>
              <w:rPr>
                <w:b/>
                <w:noProof/>
                <w:color w:val="auto"/>
                <w:sz w:val="20"/>
              </w:rPr>
              <w:drawing>
                <wp:inline distT="0" distB="0" distL="0" distR="0" wp14:anchorId="2B4CC18D" wp14:editId="41802247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14:paraId="295AE1CA" w14:textId="77777777" w:rsidR="004A239E" w:rsidRPr="004A239E" w:rsidRDefault="004A239E" w:rsidP="004A239E">
            <w:pPr>
              <w:jc w:val="center"/>
              <w:rPr>
                <w:b/>
                <w:color w:val="0070C0"/>
                <w:szCs w:val="28"/>
              </w:rPr>
            </w:pPr>
            <w:r w:rsidRPr="004A239E">
              <w:rPr>
                <w:b/>
                <w:color w:val="0070C0"/>
                <w:szCs w:val="28"/>
              </w:rPr>
              <w:t>АДМИНИСТРАЦИЯ</w:t>
            </w:r>
          </w:p>
          <w:p w14:paraId="1E94C466" w14:textId="77777777" w:rsidR="004A239E" w:rsidRPr="004A239E" w:rsidRDefault="004A239E" w:rsidP="004A239E">
            <w:pPr>
              <w:jc w:val="center"/>
              <w:rPr>
                <w:color w:val="0070C0"/>
                <w:sz w:val="20"/>
              </w:rPr>
            </w:pPr>
            <w:r w:rsidRPr="004A239E">
              <w:rPr>
                <w:color w:val="0070C0"/>
                <w:sz w:val="20"/>
              </w:rPr>
              <w:t xml:space="preserve">СЕЛЬСКОГО ПОСЕЛЕНИЯ </w:t>
            </w:r>
          </w:p>
          <w:p w14:paraId="4C3F3181" w14:textId="77777777" w:rsidR="004A239E" w:rsidRPr="004A239E" w:rsidRDefault="004A239E" w:rsidP="004A239E">
            <w:pPr>
              <w:jc w:val="center"/>
              <w:rPr>
                <w:b/>
                <w:color w:val="0070C0"/>
                <w:sz w:val="20"/>
              </w:rPr>
            </w:pPr>
            <w:r w:rsidRPr="004A239E">
              <w:rPr>
                <w:b/>
                <w:color w:val="0070C0"/>
                <w:szCs w:val="28"/>
              </w:rPr>
              <w:t>БЕЛЬСКИЙ СЕЛЬСОВЕТ</w:t>
            </w:r>
          </w:p>
          <w:p w14:paraId="2F5B0166" w14:textId="77777777" w:rsidR="004A239E" w:rsidRPr="004A239E" w:rsidRDefault="004A239E" w:rsidP="004A239E">
            <w:pPr>
              <w:keepNext/>
              <w:jc w:val="center"/>
              <w:outlineLvl w:val="0"/>
              <w:rPr>
                <w:color w:val="0070C0"/>
                <w:spacing w:val="20"/>
                <w:sz w:val="20"/>
              </w:rPr>
            </w:pPr>
            <w:r w:rsidRPr="004A239E">
              <w:rPr>
                <w:color w:val="0070C0"/>
                <w:spacing w:val="20"/>
                <w:sz w:val="20"/>
              </w:rPr>
              <w:t xml:space="preserve">МУНИЦИПАЛЬНОГО РАЙОНА ГАФУРИЙСКИЙ РАЙОН </w:t>
            </w:r>
          </w:p>
          <w:p w14:paraId="5151703C" w14:textId="77777777" w:rsidR="004A239E" w:rsidRPr="004A239E" w:rsidRDefault="004A239E" w:rsidP="004A239E">
            <w:pPr>
              <w:keepNext/>
              <w:jc w:val="center"/>
              <w:outlineLvl w:val="0"/>
              <w:rPr>
                <w:b/>
                <w:color w:val="auto"/>
                <w:sz w:val="20"/>
              </w:rPr>
            </w:pPr>
            <w:r w:rsidRPr="004A239E">
              <w:rPr>
                <w:color w:val="0070C0"/>
                <w:sz w:val="20"/>
              </w:rPr>
              <w:t>РЕСПУБЛИКИ БАШКОРТОСТАН</w:t>
            </w:r>
          </w:p>
        </w:tc>
      </w:tr>
    </w:tbl>
    <w:p w14:paraId="379C9587" w14:textId="77777777" w:rsidR="004A239E" w:rsidRPr="004A239E" w:rsidRDefault="004A239E" w:rsidP="004A239E">
      <w:pPr>
        <w:jc w:val="center"/>
        <w:rPr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856"/>
      </w:tblGrid>
      <w:tr w:rsidR="004A239E" w:rsidRPr="004A239E" w14:paraId="4C230789" w14:textId="77777777" w:rsidTr="00626A0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0070C0"/>
          </w:tcPr>
          <w:p w14:paraId="0D2128B3" w14:textId="77777777" w:rsidR="004A239E" w:rsidRPr="004A239E" w:rsidRDefault="004A239E" w:rsidP="004A239E">
            <w:pPr>
              <w:jc w:val="center"/>
              <w:rPr>
                <w:rFonts w:ascii="Arial" w:hAnsi="Arial" w:cs="Arial"/>
                <w:color w:val="0070C0"/>
                <w:sz w:val="2"/>
              </w:rPr>
            </w:pPr>
          </w:p>
        </w:tc>
      </w:tr>
    </w:tbl>
    <w:p w14:paraId="76E4E88F" w14:textId="77777777" w:rsidR="004A239E" w:rsidRPr="004A239E" w:rsidRDefault="004A239E" w:rsidP="004A239E">
      <w:pPr>
        <w:jc w:val="center"/>
        <w:rPr>
          <w:rFonts w:ascii="Arial" w:hAnsi="Arial" w:cs="Arial"/>
          <w:color w:val="0070C0"/>
          <w:sz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4A239E" w:rsidRPr="004A239E" w14:paraId="67FED021" w14:textId="77777777" w:rsidTr="00626A07">
        <w:tc>
          <w:tcPr>
            <w:tcW w:w="3828" w:type="dxa"/>
            <w:shd w:val="clear" w:color="auto" w:fill="auto"/>
          </w:tcPr>
          <w:p w14:paraId="46BAB554" w14:textId="77777777" w:rsidR="004A239E" w:rsidRPr="004A239E" w:rsidRDefault="004A239E" w:rsidP="004A239E">
            <w:pPr>
              <w:jc w:val="center"/>
              <w:rPr>
                <w:b/>
                <w:color w:val="auto"/>
                <w:szCs w:val="28"/>
              </w:rPr>
            </w:pPr>
            <w:r w:rsidRPr="004A239E">
              <w:rPr>
                <w:b/>
                <w:color w:val="auto"/>
                <w:szCs w:val="28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14:paraId="03CB2944" w14:textId="77777777" w:rsidR="004A239E" w:rsidRPr="004A239E" w:rsidRDefault="004A239E" w:rsidP="004A239E">
            <w:pPr>
              <w:rPr>
                <w:color w:val="auto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23FACFB3" w14:textId="77777777" w:rsidR="004A239E" w:rsidRPr="004A239E" w:rsidRDefault="004A239E" w:rsidP="004A239E">
            <w:pPr>
              <w:jc w:val="center"/>
              <w:rPr>
                <w:b/>
                <w:color w:val="auto"/>
                <w:szCs w:val="28"/>
              </w:rPr>
            </w:pPr>
            <w:r w:rsidRPr="004A239E">
              <w:rPr>
                <w:b/>
                <w:color w:val="auto"/>
                <w:szCs w:val="28"/>
              </w:rPr>
              <w:t>ПОСТАНОВЛЕНИЕ</w:t>
            </w:r>
          </w:p>
        </w:tc>
      </w:tr>
    </w:tbl>
    <w:p w14:paraId="3583747B" w14:textId="77777777" w:rsidR="004A239E" w:rsidRPr="004A239E" w:rsidRDefault="004A239E" w:rsidP="004A239E">
      <w:pPr>
        <w:rPr>
          <w:color w:val="auto"/>
          <w:sz w:val="24"/>
          <w:szCs w:val="24"/>
        </w:rPr>
      </w:pPr>
    </w:p>
    <w:tbl>
      <w:tblPr>
        <w:tblW w:w="1018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431"/>
      </w:tblGrid>
      <w:tr w:rsidR="004A239E" w:rsidRPr="004A239E" w14:paraId="73B95B2C" w14:textId="77777777" w:rsidTr="00626A07">
        <w:tc>
          <w:tcPr>
            <w:tcW w:w="4360" w:type="dxa"/>
          </w:tcPr>
          <w:p w14:paraId="0F185B24" w14:textId="66006DCE" w:rsidR="004A239E" w:rsidRPr="004A239E" w:rsidRDefault="004A239E" w:rsidP="00581A80">
            <w:pPr>
              <w:jc w:val="center"/>
              <w:rPr>
                <w:color w:val="auto"/>
                <w:szCs w:val="28"/>
              </w:rPr>
            </w:pPr>
            <w:r w:rsidRPr="004A239E">
              <w:rPr>
                <w:color w:val="auto"/>
                <w:szCs w:val="28"/>
              </w:rPr>
              <w:t xml:space="preserve"> «0</w:t>
            </w:r>
            <w:r w:rsidR="00581A80">
              <w:rPr>
                <w:color w:val="auto"/>
                <w:szCs w:val="28"/>
              </w:rPr>
              <w:t>1</w:t>
            </w:r>
            <w:r w:rsidRPr="004A239E">
              <w:rPr>
                <w:color w:val="auto"/>
                <w:szCs w:val="28"/>
              </w:rPr>
              <w:t>» июнь 2026 й.</w:t>
            </w:r>
          </w:p>
        </w:tc>
        <w:tc>
          <w:tcPr>
            <w:tcW w:w="1396" w:type="dxa"/>
          </w:tcPr>
          <w:p w14:paraId="346D405B" w14:textId="2A35F775" w:rsidR="004A239E" w:rsidRPr="004A239E" w:rsidRDefault="004A239E" w:rsidP="004A239E">
            <w:pPr>
              <w:jc w:val="center"/>
              <w:rPr>
                <w:color w:val="auto"/>
                <w:szCs w:val="28"/>
              </w:rPr>
            </w:pPr>
            <w:r w:rsidRPr="004A239E">
              <w:rPr>
                <w:color w:val="auto"/>
                <w:szCs w:val="28"/>
              </w:rPr>
              <w:t>№4</w:t>
            </w: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4431" w:type="dxa"/>
          </w:tcPr>
          <w:p w14:paraId="5E4AB973" w14:textId="3329B45F" w:rsidR="004A239E" w:rsidRPr="004A239E" w:rsidRDefault="004A239E" w:rsidP="00581A80">
            <w:pPr>
              <w:jc w:val="center"/>
              <w:rPr>
                <w:color w:val="auto"/>
                <w:szCs w:val="28"/>
              </w:rPr>
            </w:pPr>
            <w:r w:rsidRPr="004A239E">
              <w:rPr>
                <w:color w:val="auto"/>
                <w:szCs w:val="28"/>
              </w:rPr>
              <w:t>«0</w:t>
            </w:r>
            <w:r w:rsidR="00581A80">
              <w:rPr>
                <w:color w:val="auto"/>
                <w:szCs w:val="28"/>
              </w:rPr>
              <w:t>1</w:t>
            </w:r>
            <w:r w:rsidRPr="004A239E">
              <w:rPr>
                <w:color w:val="auto"/>
                <w:szCs w:val="28"/>
              </w:rPr>
              <w:t>» июня 2026 г.</w:t>
            </w:r>
          </w:p>
        </w:tc>
      </w:tr>
    </w:tbl>
    <w:p w14:paraId="609B0F69" w14:textId="77777777" w:rsidR="004A239E" w:rsidRDefault="004A239E">
      <w:pPr>
        <w:spacing w:line="240" w:lineRule="exact"/>
        <w:ind w:firstLine="680"/>
        <w:jc w:val="center"/>
      </w:pPr>
    </w:p>
    <w:p w14:paraId="37AB1400" w14:textId="77777777" w:rsidR="004A239E" w:rsidRDefault="004A239E">
      <w:pPr>
        <w:spacing w:line="240" w:lineRule="exact"/>
        <w:ind w:firstLine="680"/>
        <w:jc w:val="center"/>
      </w:pPr>
    </w:p>
    <w:p w14:paraId="0A000000" w14:textId="77777777" w:rsidR="00CF1CAF" w:rsidRDefault="00CF1CAF">
      <w:pPr>
        <w:spacing w:line="240" w:lineRule="exact"/>
        <w:ind w:firstLine="680"/>
        <w:jc w:val="center"/>
      </w:pPr>
    </w:p>
    <w:p w14:paraId="46DEA4DF" w14:textId="77777777" w:rsidR="004A239E" w:rsidRDefault="00E87636" w:rsidP="004A239E">
      <w:pPr>
        <w:spacing w:line="240" w:lineRule="exact"/>
        <w:ind w:firstLine="680"/>
        <w:jc w:val="center"/>
        <w:rPr>
          <w:b/>
        </w:rPr>
      </w:pPr>
      <w:r w:rsidRPr="004A239E">
        <w:rPr>
          <w:b/>
        </w:rPr>
        <w:t>Об утверждении положения об увековечении памяти погибших</w:t>
      </w:r>
    </w:p>
    <w:p w14:paraId="0B000000" w14:textId="3BE812FC" w:rsidR="00CF1CAF" w:rsidRPr="004A239E" w:rsidRDefault="00E87636" w:rsidP="004A239E">
      <w:pPr>
        <w:spacing w:line="240" w:lineRule="exact"/>
        <w:ind w:firstLine="680"/>
        <w:jc w:val="center"/>
        <w:rPr>
          <w:b/>
        </w:rPr>
      </w:pPr>
      <w:r w:rsidRPr="004A239E">
        <w:rPr>
          <w:b/>
        </w:rPr>
        <w:t xml:space="preserve">в ходе специальной военной операции (умерших) уроженцев </w:t>
      </w:r>
      <w:proofErr w:type="spellStart"/>
      <w:r w:rsidRPr="004A239E">
        <w:rPr>
          <w:b/>
        </w:rPr>
        <w:t>Гафурийского</w:t>
      </w:r>
      <w:proofErr w:type="spellEnd"/>
      <w:r w:rsidRPr="004A239E">
        <w:rPr>
          <w:b/>
        </w:rPr>
        <w:t xml:space="preserve"> района</w:t>
      </w:r>
    </w:p>
    <w:p w14:paraId="0C000000" w14:textId="77777777" w:rsidR="00CF1CAF" w:rsidRPr="004A239E" w:rsidRDefault="00CF1CAF" w:rsidP="004A239E">
      <w:pPr>
        <w:spacing w:line="240" w:lineRule="exact"/>
        <w:ind w:firstLine="680"/>
        <w:rPr>
          <w:b/>
        </w:rPr>
      </w:pPr>
      <w:bookmarkStart w:id="0" w:name="_GoBack"/>
      <w:bookmarkEnd w:id="0"/>
    </w:p>
    <w:p w14:paraId="5137D9AD" w14:textId="77777777" w:rsidR="004A239E" w:rsidRDefault="00E87636">
      <w:pPr>
        <w:tabs>
          <w:tab w:val="left" w:pos="431"/>
        </w:tabs>
        <w:ind w:firstLine="680"/>
        <w:jc w:val="both"/>
      </w:pPr>
      <w:proofErr w:type="gramStart"/>
      <w:r>
        <w:t>В соответствии с Федеральным законом Российской Федерации от 14.01.1993 № 4292-1 «Об увековечении памяти погибших при защите Отечества», Законом Республики Башкортостан от 24.11.2008 № 70-з «Об увековечении памяти лиц, имеющих выдающиеся достижения и особые заслуги перед Республикой Башкортостан, а также исторических событий», уставом с</w:t>
      </w:r>
      <w:r w:rsidR="004A239E">
        <w:t xml:space="preserve">ельского поселения  Бельский </w:t>
      </w:r>
      <w:r>
        <w:t xml:space="preserve"> сельсовет муниципального района Гафурийский район Республики Башкортостан </w:t>
      </w:r>
      <w:proofErr w:type="gramEnd"/>
    </w:p>
    <w:p w14:paraId="0BBD2DAC" w14:textId="20C39FB5" w:rsidR="004A239E" w:rsidRDefault="004A239E" w:rsidP="004A239E">
      <w:pPr>
        <w:tabs>
          <w:tab w:val="left" w:pos="431"/>
        </w:tabs>
        <w:ind w:firstLine="680"/>
        <w:jc w:val="both"/>
      </w:pPr>
      <w:r>
        <w:t xml:space="preserve"> ПОСТАНОВЛЯЕТ</w:t>
      </w:r>
      <w:r w:rsidR="00E87636">
        <w:t>:</w:t>
      </w:r>
    </w:p>
    <w:p w14:paraId="0E000000" w14:textId="77777777" w:rsidR="00CF1CAF" w:rsidRDefault="00E87636">
      <w:pPr>
        <w:tabs>
          <w:tab w:val="left" w:pos="431"/>
        </w:tabs>
        <w:ind w:firstLine="680"/>
        <w:jc w:val="both"/>
      </w:pPr>
      <w:r>
        <w:t xml:space="preserve">1. Утвердить прилагаемое Положение об увековечении памяти погибших в ходе специальной военной операции (умерших) уроженцев </w:t>
      </w:r>
      <w:proofErr w:type="spellStart"/>
      <w:r>
        <w:t>Гафурийского</w:t>
      </w:r>
      <w:proofErr w:type="spellEnd"/>
      <w:r>
        <w:t xml:space="preserve"> района</w:t>
      </w:r>
    </w:p>
    <w:p w14:paraId="0F000000" w14:textId="77777777" w:rsidR="00CF1CAF" w:rsidRDefault="00E87636">
      <w:pPr>
        <w:tabs>
          <w:tab w:val="left" w:pos="431"/>
        </w:tabs>
        <w:ind w:firstLine="680"/>
        <w:jc w:val="both"/>
      </w:pPr>
      <w:r>
        <w:t>2. Настоящее постановление вступает в силу с момента официального опубликования.</w:t>
      </w:r>
    </w:p>
    <w:p w14:paraId="5F7A4947" w14:textId="715A2219" w:rsidR="004A239E" w:rsidRDefault="004A239E">
      <w:pPr>
        <w:tabs>
          <w:tab w:val="left" w:pos="431"/>
        </w:tabs>
        <w:ind w:firstLine="68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14:paraId="10000000" w14:textId="77777777" w:rsidR="00CF1CAF" w:rsidRDefault="00CF1CAF">
      <w:pPr>
        <w:tabs>
          <w:tab w:val="left" w:pos="431"/>
        </w:tabs>
        <w:ind w:firstLine="680"/>
        <w:jc w:val="both"/>
      </w:pPr>
    </w:p>
    <w:p w14:paraId="11000000" w14:textId="77777777" w:rsidR="00CF1CAF" w:rsidRDefault="00CF1CAF">
      <w:pPr>
        <w:tabs>
          <w:tab w:val="left" w:pos="431"/>
        </w:tabs>
        <w:ind w:firstLine="680"/>
        <w:jc w:val="both"/>
      </w:pPr>
    </w:p>
    <w:p w14:paraId="29DB1C35" w14:textId="77777777" w:rsidR="004A239E" w:rsidRDefault="004A239E">
      <w:pPr>
        <w:tabs>
          <w:tab w:val="left" w:pos="431"/>
        </w:tabs>
        <w:ind w:firstLine="680"/>
        <w:jc w:val="both"/>
      </w:pPr>
    </w:p>
    <w:p w14:paraId="55D5F24C" w14:textId="77777777" w:rsidR="004A239E" w:rsidRDefault="004A239E">
      <w:pPr>
        <w:tabs>
          <w:tab w:val="left" w:pos="431"/>
        </w:tabs>
        <w:ind w:firstLine="680"/>
        <w:jc w:val="both"/>
      </w:pPr>
    </w:p>
    <w:p w14:paraId="57D3A4D1" w14:textId="77777777" w:rsidR="004A239E" w:rsidRPr="004A239E" w:rsidRDefault="004A239E" w:rsidP="004A239E">
      <w:pPr>
        <w:tabs>
          <w:tab w:val="left" w:pos="989"/>
        </w:tabs>
        <w:jc w:val="both"/>
        <w:rPr>
          <w:color w:val="auto"/>
          <w:szCs w:val="24"/>
        </w:rPr>
      </w:pPr>
      <w:r w:rsidRPr="004A239E">
        <w:rPr>
          <w:color w:val="auto"/>
          <w:szCs w:val="24"/>
        </w:rPr>
        <w:t xml:space="preserve">Глава сельского поселения </w:t>
      </w:r>
    </w:p>
    <w:p w14:paraId="6D66C35C" w14:textId="77777777" w:rsidR="004A239E" w:rsidRPr="004A239E" w:rsidRDefault="004A239E" w:rsidP="004A239E">
      <w:pPr>
        <w:tabs>
          <w:tab w:val="left" w:pos="989"/>
        </w:tabs>
        <w:jc w:val="both"/>
        <w:rPr>
          <w:color w:val="auto"/>
          <w:szCs w:val="24"/>
        </w:rPr>
      </w:pPr>
      <w:r w:rsidRPr="004A239E">
        <w:rPr>
          <w:color w:val="auto"/>
          <w:szCs w:val="24"/>
        </w:rPr>
        <w:t xml:space="preserve">Бельский сельсовет:                                                                   </w:t>
      </w:r>
      <w:proofErr w:type="spellStart"/>
      <w:r w:rsidRPr="004A239E">
        <w:rPr>
          <w:color w:val="auto"/>
          <w:szCs w:val="24"/>
        </w:rPr>
        <w:t>Ю.З.Ахмеров</w:t>
      </w:r>
      <w:proofErr w:type="spellEnd"/>
    </w:p>
    <w:p w14:paraId="12000000" w14:textId="4BECD5D2" w:rsidR="00CF1CAF" w:rsidRDefault="00E87636">
      <w:pPr>
        <w:tabs>
          <w:tab w:val="left" w:pos="431"/>
        </w:tabs>
        <w:ind w:firstLine="680"/>
        <w:jc w:val="both"/>
      </w:pPr>
      <w:r>
        <w:br w:type="page"/>
      </w:r>
    </w:p>
    <w:p w14:paraId="13000000" w14:textId="77777777" w:rsidR="00CF1CAF" w:rsidRDefault="00E87636">
      <w:pPr>
        <w:tabs>
          <w:tab w:val="left" w:pos="431"/>
        </w:tabs>
        <w:ind w:firstLine="680"/>
        <w:jc w:val="right"/>
      </w:pPr>
      <w:r>
        <w:lastRenderedPageBreak/>
        <w:tab/>
        <w:t>Утверждено Постановление</w:t>
      </w:r>
    </w:p>
    <w:p w14:paraId="14000000" w14:textId="0BDD60FE" w:rsidR="00CF1CAF" w:rsidRDefault="00E87636">
      <w:pPr>
        <w:tabs>
          <w:tab w:val="left" w:pos="431"/>
        </w:tabs>
        <w:ind w:firstLine="680"/>
        <w:jc w:val="right"/>
      </w:pPr>
      <w:r>
        <w:t>Администрации се</w:t>
      </w:r>
      <w:r w:rsidR="004A239E">
        <w:t>льского поселения   Бельский</w:t>
      </w:r>
      <w:r>
        <w:t xml:space="preserve"> сельсовет </w:t>
      </w:r>
    </w:p>
    <w:p w14:paraId="15000000" w14:textId="77777777" w:rsidR="00CF1CAF" w:rsidRDefault="00E87636">
      <w:pPr>
        <w:tabs>
          <w:tab w:val="left" w:pos="431"/>
        </w:tabs>
        <w:ind w:firstLine="680"/>
        <w:jc w:val="right"/>
      </w:pPr>
      <w:r>
        <w:t>муниципального района Гафурийский</w:t>
      </w:r>
    </w:p>
    <w:p w14:paraId="16000000" w14:textId="77777777" w:rsidR="00CF1CAF" w:rsidRDefault="00E87636">
      <w:pPr>
        <w:tabs>
          <w:tab w:val="left" w:pos="431"/>
        </w:tabs>
        <w:ind w:firstLine="680"/>
        <w:jc w:val="right"/>
      </w:pPr>
      <w:r>
        <w:t>район Республики Башкортостан</w:t>
      </w:r>
    </w:p>
    <w:p w14:paraId="17000000" w14:textId="0F666984" w:rsidR="00CF1CAF" w:rsidRDefault="00E87636">
      <w:pPr>
        <w:tabs>
          <w:tab w:val="left" w:pos="431"/>
        </w:tabs>
        <w:ind w:firstLine="680"/>
        <w:jc w:val="right"/>
      </w:pPr>
      <w:r>
        <w:t>от</w:t>
      </w:r>
      <w:r w:rsidR="00581A80">
        <w:t>01 июня 2026 г № 48</w:t>
      </w:r>
    </w:p>
    <w:p w14:paraId="18000000" w14:textId="77777777" w:rsidR="00CF1CAF" w:rsidRDefault="00CF1CAF">
      <w:pPr>
        <w:tabs>
          <w:tab w:val="left" w:pos="431"/>
        </w:tabs>
        <w:ind w:firstLine="680"/>
        <w:jc w:val="right"/>
        <w:rPr>
          <w:rFonts w:ascii="TimesNewRomanPSMT" w:hAnsi="TimesNewRomanPSMT"/>
        </w:rPr>
      </w:pPr>
    </w:p>
    <w:p w14:paraId="19000000" w14:textId="77777777" w:rsidR="00CF1CAF" w:rsidRDefault="00CF1CAF">
      <w:pPr>
        <w:tabs>
          <w:tab w:val="left" w:pos="431"/>
        </w:tabs>
        <w:ind w:firstLine="680"/>
        <w:jc w:val="right"/>
        <w:rPr>
          <w:rFonts w:ascii="TimesNewRomanPSMT" w:hAnsi="TimesNewRomanPSMT"/>
        </w:rPr>
      </w:pPr>
    </w:p>
    <w:p w14:paraId="1A000000" w14:textId="77777777" w:rsidR="00CF1CAF" w:rsidRDefault="00E87636">
      <w:pPr>
        <w:ind w:firstLine="680"/>
        <w:jc w:val="center"/>
      </w:pPr>
      <w:r>
        <w:t xml:space="preserve">ПОЛОЖЕНИЕ </w:t>
      </w:r>
    </w:p>
    <w:p w14:paraId="1B000000" w14:textId="77777777" w:rsidR="00CF1CAF" w:rsidRDefault="00E87636">
      <w:pPr>
        <w:ind w:firstLine="680"/>
        <w:jc w:val="center"/>
      </w:pPr>
      <w:r>
        <w:t xml:space="preserve">об увековечении памяти погибших в ходе специальной военной операции (умерших) уроженцев </w:t>
      </w:r>
      <w:proofErr w:type="spellStart"/>
      <w:r>
        <w:t>Гафурийского</w:t>
      </w:r>
      <w:proofErr w:type="spellEnd"/>
      <w:r>
        <w:t xml:space="preserve"> района</w:t>
      </w:r>
    </w:p>
    <w:p w14:paraId="1C000000" w14:textId="77777777" w:rsidR="00CF1CAF" w:rsidRDefault="00CF1CAF">
      <w:pPr>
        <w:ind w:firstLine="680"/>
        <w:jc w:val="center"/>
      </w:pPr>
    </w:p>
    <w:p w14:paraId="1D000000" w14:textId="16398A42" w:rsidR="00CF1CAF" w:rsidRDefault="00E87636">
      <w:pPr>
        <w:numPr>
          <w:ilvl w:val="0"/>
          <w:numId w:val="1"/>
        </w:numPr>
        <w:ind w:left="0" w:firstLine="680"/>
        <w:jc w:val="both"/>
      </w:pPr>
      <w:r>
        <w:t xml:space="preserve">Настоящее положение устанавливает порядок увековечения памяти погибших (умерших) в ходе специальной военной операции уроженцев </w:t>
      </w:r>
      <w:proofErr w:type="spellStart"/>
      <w:r>
        <w:t>Гафурийского</w:t>
      </w:r>
      <w:proofErr w:type="spellEnd"/>
      <w:r>
        <w:t xml:space="preserve"> района Республики Башкортостан. </w:t>
      </w:r>
      <w:proofErr w:type="gramStart"/>
      <w:r>
        <w:t xml:space="preserve">Постоянное проживание погибшего (умершего) на территории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подтверждается регистрацией по месту жительства на территории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Башкортостан, решением суда об установлении факта постоянного проживания, погибшего (умершего) на территории  сельского поселения  </w:t>
      </w:r>
      <w:r w:rsidR="004A239E">
        <w:t>Бельский</w:t>
      </w:r>
      <w:r w:rsidR="004A239E">
        <w:t xml:space="preserve"> </w:t>
      </w:r>
      <w:r>
        <w:t xml:space="preserve">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Башкортостан, выпиской из домовой книги.</w:t>
      </w:r>
      <w:proofErr w:type="gramEnd"/>
    </w:p>
    <w:p w14:paraId="1E000000" w14:textId="4CFD9C54" w:rsidR="00CF1CAF" w:rsidRDefault="00E87636">
      <w:pPr>
        <w:numPr>
          <w:ilvl w:val="0"/>
          <w:numId w:val="1"/>
        </w:numPr>
        <w:ind w:left="0" w:firstLine="680"/>
        <w:jc w:val="both"/>
      </w:pPr>
      <w:r>
        <w:t xml:space="preserve">Основными формами увековечения памяти погибших (умерших) в ходе специальной военной операции уроженцев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являются:</w:t>
      </w:r>
    </w:p>
    <w:p w14:paraId="1F000000" w14:textId="508DDAD6" w:rsidR="00CF1CAF" w:rsidRDefault="00E87636">
      <w:pPr>
        <w:ind w:firstLine="680"/>
        <w:jc w:val="both"/>
      </w:pPr>
      <w:r>
        <w:t xml:space="preserve">1) создание и ведение Книг Памяти о погибших (умерших) уроженцах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операции;</w:t>
      </w:r>
    </w:p>
    <w:p w14:paraId="20000000" w14:textId="479CACCA" w:rsidR="00CF1CAF" w:rsidRDefault="00E87636">
      <w:pPr>
        <w:ind w:firstLine="680"/>
        <w:jc w:val="both"/>
      </w:pPr>
      <w:r>
        <w:t xml:space="preserve">2) присвоение имен погибших (умерших) уроженцев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 улицам и площадям, установка памятных знаков на фасадах и (или) внутри зданий;</w:t>
      </w:r>
    </w:p>
    <w:p w14:paraId="21000000" w14:textId="3C8ED08B" w:rsidR="00CF1CAF" w:rsidRDefault="00E87636">
      <w:pPr>
        <w:ind w:firstLine="680"/>
        <w:jc w:val="both"/>
      </w:pPr>
      <w:r>
        <w:t xml:space="preserve">3) создание уголков воинской доблести, музеев славы, выставок героических подвигах погибших (умерших) уроженцев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операции;</w:t>
      </w:r>
    </w:p>
    <w:p w14:paraId="22000000" w14:textId="5F533588" w:rsidR="00CF1CAF" w:rsidRDefault="00E87636">
      <w:pPr>
        <w:ind w:firstLine="680"/>
        <w:jc w:val="both"/>
      </w:pPr>
      <w:r>
        <w:t xml:space="preserve">4) установка мемориальной доски, другого памятного знака погибшим (умершим) уроженцам сельского поселения  </w:t>
      </w:r>
      <w:r w:rsidR="004A239E">
        <w:t>Бельский</w:t>
      </w:r>
      <w:r w:rsidR="004A239E">
        <w:t xml:space="preserve"> </w:t>
      </w:r>
      <w:r>
        <w:t xml:space="preserve">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операции;</w:t>
      </w:r>
    </w:p>
    <w:p w14:paraId="23000000" w14:textId="7B967964" w:rsidR="00CF1CAF" w:rsidRDefault="00E87636">
      <w:pPr>
        <w:ind w:firstLine="680"/>
        <w:jc w:val="both"/>
      </w:pPr>
      <w: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сельского поселения  </w:t>
      </w:r>
      <w:r w:rsidR="004A239E">
        <w:t>Бельский</w:t>
      </w:r>
      <w:r w:rsidR="004A239E">
        <w:t xml:space="preserve"> </w:t>
      </w:r>
      <w:r>
        <w:t xml:space="preserve">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операции, посвященных их подвигам;</w:t>
      </w:r>
    </w:p>
    <w:p w14:paraId="24000000" w14:textId="3CD465FF" w:rsidR="00CF1CAF" w:rsidRDefault="00E87636">
      <w:pPr>
        <w:ind w:firstLine="709"/>
        <w:jc w:val="both"/>
      </w:pPr>
      <w:r>
        <w:lastRenderedPageBreak/>
        <w:t xml:space="preserve">6) проведение военно-патриотических уроков, спортивных мероприятий, посвященных памяти погибших (умерших) уроженцев сельского поселения  </w:t>
      </w:r>
      <w:r w:rsidR="004A239E">
        <w:t>Бельский</w:t>
      </w:r>
      <w:r>
        <w:t xml:space="preserve"> 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операции;</w:t>
      </w:r>
    </w:p>
    <w:p w14:paraId="25000000" w14:textId="77777777" w:rsidR="00CF1CAF" w:rsidRDefault="00E87636">
      <w:pPr>
        <w:ind w:firstLine="709"/>
        <w:jc w:val="both"/>
      </w:pPr>
      <w:r>
        <w:t>7) содействие деятельности патриотических клубов, молодежных организаций.</w:t>
      </w:r>
    </w:p>
    <w:p w14:paraId="26000000" w14:textId="1EB16875" w:rsidR="00CF1CAF" w:rsidRDefault="00581A80" w:rsidP="00581A80">
      <w:pPr>
        <w:jc w:val="both"/>
      </w:pPr>
      <w:r>
        <w:t xml:space="preserve">        </w:t>
      </w:r>
      <w:r w:rsidR="00E87636">
        <w:t xml:space="preserve">С инициативой об увековечении памяти погибших (умерших) уроженцев сельского поселения  </w:t>
      </w:r>
      <w:r w:rsidR="004A239E">
        <w:t>Бельский</w:t>
      </w:r>
      <w:r w:rsidR="004A239E">
        <w:t xml:space="preserve"> 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 в ходе специальной военной операции могут выступать органы государственной власти, органы местного самоуправления, общественные и религиозные объединения, трудовые коллективы, учреждений, организаций, физические лица (далее - инициатор).</w:t>
      </w:r>
    </w:p>
    <w:p w14:paraId="27000000" w14:textId="17012626" w:rsidR="00CF1CAF" w:rsidRDefault="00581A80" w:rsidP="00581A80">
      <w:pPr>
        <w:jc w:val="both"/>
      </w:pPr>
      <w:r>
        <w:t xml:space="preserve">         </w:t>
      </w:r>
      <w:proofErr w:type="gramStart"/>
      <w:r w:rsidR="00E87636">
        <w:t xml:space="preserve">Письменное ходатайство, содержащее просьбу об увековечении памяти погибшего (умершего) уроженца сельского поселения  </w:t>
      </w:r>
      <w:r w:rsidR="004A239E">
        <w:t>Бельский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 при выполнении воинского долга в ходе специальной военной операции лица (далее - ходатайство), и документы, указанные в пункте 5 настоящего Положения направляются в сельского поселения  </w:t>
      </w:r>
      <w:r w:rsidR="004A239E">
        <w:t>Бельский</w:t>
      </w:r>
      <w:r w:rsidR="004A239E">
        <w:t xml:space="preserve"> </w:t>
      </w:r>
      <w:r w:rsidR="00E87636">
        <w:t xml:space="preserve">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 на имя Главы администрации сельского поселения  </w:t>
      </w:r>
      <w:r w:rsidR="004A239E">
        <w:t>Бельский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Башкортостан.</w:t>
      </w:r>
      <w:proofErr w:type="gramEnd"/>
    </w:p>
    <w:p w14:paraId="28000000" w14:textId="22214AE3" w:rsidR="00CF1CAF" w:rsidRDefault="00581A80" w:rsidP="00581A80">
      <w:pPr>
        <w:jc w:val="both"/>
      </w:pPr>
      <w:r>
        <w:t xml:space="preserve">       </w:t>
      </w:r>
      <w:proofErr w:type="gramStart"/>
      <w:r w:rsidR="00E87636">
        <w:t xml:space="preserve">В перечень документов, представляемых для увековечения, входят: ходатайство гражданина (организации); копии архивных, наградных документов, подтверждающих достоверность события или заслуги увековечиваемого лица; выписка из домовой книги с указанием периода проживания увековечиваемого лица по месту увековечения; 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="00E87636">
        <w:t>мурала</w:t>
      </w:r>
      <w:proofErr w:type="spellEnd"/>
      <w:r w:rsidR="00E87636">
        <w:t>) с обоснованием его выбора;</w:t>
      </w:r>
      <w:proofErr w:type="gramEnd"/>
      <w:r w:rsidR="00E87636">
        <w:t xml:space="preserve"> предложение по тексту надписи.</w:t>
      </w:r>
    </w:p>
    <w:p w14:paraId="29000000" w14:textId="72429A16" w:rsidR="00CF1CAF" w:rsidRDefault="00581A80" w:rsidP="00581A80">
      <w:pPr>
        <w:jc w:val="both"/>
      </w:pPr>
      <w:r>
        <w:t xml:space="preserve">      </w:t>
      </w:r>
      <w:r w:rsidR="00E87636">
        <w:t xml:space="preserve">Поступившее на имя Главы Администрации сельского поселения  </w:t>
      </w:r>
      <w:r w:rsidR="004A239E">
        <w:t>Бельский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 ходатайство и документы в течение 5 рабочих дней передаются на рассмотрение Комиссии для предварительного рассмотрения вопросов, связанных с увековечением памяти о выдающихся событиях и личностях (далее – Комиссия).</w:t>
      </w:r>
    </w:p>
    <w:p w14:paraId="2A000000" w14:textId="001E43F8" w:rsidR="00CF1CAF" w:rsidRDefault="00581A80" w:rsidP="00581A80">
      <w:pPr>
        <w:jc w:val="both"/>
      </w:pPr>
      <w:r>
        <w:t xml:space="preserve">      </w:t>
      </w:r>
      <w:r w:rsidR="00E87636">
        <w:t>Комиссия рассматривает ходатайство и проверяет прилагаемые к нему документы в течение 20 календарных дней со дня их регистрации.</w:t>
      </w:r>
    </w:p>
    <w:p w14:paraId="2B000000" w14:textId="24222BE1" w:rsidR="00CF1CAF" w:rsidRDefault="00581A80" w:rsidP="00581A80">
      <w:pPr>
        <w:jc w:val="both"/>
      </w:pPr>
      <w:r>
        <w:t xml:space="preserve">     </w:t>
      </w:r>
      <w:r w:rsidR="00E87636">
        <w:t>Комиссия вправе провести опрос общественного мнения по рассматриваемым ходатайствам.</w:t>
      </w:r>
    </w:p>
    <w:p w14:paraId="2C000000" w14:textId="4DFA25B7" w:rsidR="00CF1CAF" w:rsidRDefault="00581A80" w:rsidP="00581A80">
      <w:pPr>
        <w:jc w:val="both"/>
      </w:pPr>
      <w:r>
        <w:t xml:space="preserve">     </w:t>
      </w:r>
      <w:r w:rsidR="00E87636">
        <w:t>По результатам рассмотрения ходатайства и документов, указанных в пунктах 4,5 настоящего Положения, Комиссия принимает одно из следующих решений:</w:t>
      </w:r>
    </w:p>
    <w:p w14:paraId="2D000000" w14:textId="77777777" w:rsidR="00CF1CAF" w:rsidRDefault="00E87636">
      <w:pPr>
        <w:ind w:firstLine="709"/>
        <w:jc w:val="both"/>
      </w:pPr>
      <w:r>
        <w:t xml:space="preserve"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</w:t>
      </w:r>
      <w:r>
        <w:lastRenderedPageBreak/>
        <w:t>участвующих в мероприятиях, определение объема финансово экономических затрат, выделение финансовых средств, сил для выполнения работ и т.д.);</w:t>
      </w:r>
    </w:p>
    <w:p w14:paraId="2E000000" w14:textId="77777777" w:rsidR="00CF1CAF" w:rsidRDefault="00E87636">
      <w:pPr>
        <w:ind w:firstLine="709"/>
        <w:jc w:val="both"/>
      </w:pPr>
      <w:r>
        <w:t>2) рекомендовать ходатайствующей стороне увековечить память погибшего в других формах;</w:t>
      </w:r>
    </w:p>
    <w:p w14:paraId="2F000000" w14:textId="2E5E62C1" w:rsidR="00CF1CAF" w:rsidRDefault="00E87636">
      <w:pPr>
        <w:ind w:firstLine="709"/>
        <w:jc w:val="both"/>
      </w:pPr>
      <w:r>
        <w:t>3) перенести рассмотрение ходатайств на ср</w:t>
      </w:r>
      <w:r w:rsidR="00581A80">
        <w:t>ок, определяемый Комиссией</w:t>
      </w:r>
      <w:proofErr w:type="gramStart"/>
      <w:r w:rsidR="00581A80">
        <w:t xml:space="preserve"> </w:t>
      </w:r>
      <w:r>
        <w:t>,</w:t>
      </w:r>
      <w:proofErr w:type="gramEnd"/>
      <w:r>
        <w:t xml:space="preserve"> в связи с необходимостью получения дополнительных сведений и документов или по другим причина</w:t>
      </w:r>
      <w:r w:rsidR="00581A80">
        <w:t>м, установленным Комиссией</w:t>
      </w:r>
      <w:r>
        <w:t>;</w:t>
      </w:r>
    </w:p>
    <w:p w14:paraId="30000000" w14:textId="77777777" w:rsidR="00CF1CAF" w:rsidRDefault="00E87636">
      <w:pPr>
        <w:ind w:firstLine="709"/>
        <w:jc w:val="both"/>
      </w:pPr>
      <w:r>
        <w:t>4) отклонить ходатайство.</w:t>
      </w:r>
    </w:p>
    <w:p w14:paraId="31000000" w14:textId="4A938C1C" w:rsidR="00CF1CAF" w:rsidRDefault="00581A80" w:rsidP="00581A80">
      <w:pPr>
        <w:jc w:val="both"/>
      </w:pPr>
      <w:r>
        <w:t xml:space="preserve">   </w:t>
      </w:r>
      <w:r w:rsidR="00E87636">
        <w:t>Решения, принятые Комиссией, оформляются протоколом.</w:t>
      </w:r>
    </w:p>
    <w:p w14:paraId="32000000" w14:textId="1972DA27" w:rsidR="00CF1CAF" w:rsidRDefault="00581A80" w:rsidP="00581A80">
      <w:pPr>
        <w:jc w:val="both"/>
      </w:pPr>
      <w:r>
        <w:t xml:space="preserve">   </w:t>
      </w:r>
      <w:r w:rsidR="00E87636">
        <w:t xml:space="preserve">При принятии решения, предусмотренного подпунктом 1 пункта 9 настоящего Положения, Комиссия готовит проект постановления Администрации сельского поселения  </w:t>
      </w:r>
      <w:r w:rsidR="004A239E">
        <w:t>Бельский</w:t>
      </w:r>
      <w:r w:rsidR="004A239E">
        <w:t xml:space="preserve"> </w:t>
      </w:r>
      <w:r w:rsidR="00E87636">
        <w:t xml:space="preserve">сельсовет </w:t>
      </w:r>
      <w:proofErr w:type="spellStart"/>
      <w:r w:rsidR="004A239E">
        <w:t>Г</w:t>
      </w:r>
      <w:r w:rsidR="00E87636">
        <w:t>афурийского</w:t>
      </w:r>
      <w:proofErr w:type="spellEnd"/>
      <w:r w:rsidR="00E87636">
        <w:t xml:space="preserve"> района Республики Башкортостан об установке мемориальной доски, другого памятного знака и направляет его на подписание Главе Администрации сельского поселения  </w:t>
      </w:r>
      <w:r w:rsidR="004A239E">
        <w:t>Бельский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Башкортостан.</w:t>
      </w:r>
    </w:p>
    <w:p w14:paraId="33000000" w14:textId="60FFA616" w:rsidR="00CF1CAF" w:rsidRDefault="00581A80" w:rsidP="00581A80">
      <w:pPr>
        <w:jc w:val="both"/>
      </w:pPr>
      <w:r>
        <w:t xml:space="preserve">    </w:t>
      </w:r>
      <w:r w:rsidR="00E87636">
        <w:t>В случае принятия решения об отклонении ходатайства Комиссия направляет его инициатору информацию с заключением не позднее 5 дней со дня принятия такого решения.</w:t>
      </w:r>
    </w:p>
    <w:p w14:paraId="34000000" w14:textId="6627C4AF" w:rsidR="00CF1CAF" w:rsidRDefault="00581A80" w:rsidP="00581A80">
      <w:pPr>
        <w:jc w:val="both"/>
      </w:pPr>
      <w:r>
        <w:t xml:space="preserve">    </w:t>
      </w:r>
      <w:r w:rsidR="00E87636">
        <w:t xml:space="preserve">В постановлении Администрации сельского поселения  </w:t>
      </w:r>
      <w:r w:rsidR="004A239E">
        <w:t>Бельский</w:t>
      </w:r>
      <w:r w:rsidR="00E87636">
        <w:t xml:space="preserve"> сельсовет </w:t>
      </w:r>
      <w:proofErr w:type="spellStart"/>
      <w:r w:rsidR="00E87636">
        <w:t>Гафурийского</w:t>
      </w:r>
      <w:proofErr w:type="spellEnd"/>
      <w:r w:rsidR="00E87636">
        <w:t xml:space="preserve"> района Республики Башкортостан об установке мемориальной доски, другого памятного знака указываются:</w:t>
      </w:r>
    </w:p>
    <w:p w14:paraId="35000000" w14:textId="77777777" w:rsidR="00CF1CAF" w:rsidRDefault="00E87636">
      <w:pPr>
        <w:ind w:firstLine="709"/>
        <w:jc w:val="both"/>
      </w:pPr>
      <w:r>
        <w:t>1) адрес места установки мемориальной доски, другого памятного знака;</w:t>
      </w:r>
    </w:p>
    <w:p w14:paraId="36000000" w14:textId="77777777" w:rsidR="00CF1CAF" w:rsidRDefault="00E87636">
      <w:pPr>
        <w:ind w:firstLine="709"/>
        <w:jc w:val="both"/>
      </w:pPr>
      <w:r>
        <w:t>2) содержание надписи;</w:t>
      </w:r>
    </w:p>
    <w:p w14:paraId="37000000" w14:textId="77777777" w:rsidR="00CF1CAF" w:rsidRDefault="00E87636">
      <w:pPr>
        <w:ind w:firstLine="709"/>
        <w:jc w:val="both"/>
      </w:pPr>
      <w:r>
        <w:t>3) срок установки мемориальной доски, другого памятного знака;</w:t>
      </w:r>
    </w:p>
    <w:p w14:paraId="38000000" w14:textId="77777777" w:rsidR="00CF1CAF" w:rsidRDefault="00E87636">
      <w:pPr>
        <w:ind w:firstLine="709"/>
        <w:jc w:val="both"/>
      </w:pPr>
      <w:r>
        <w:t>4) источник финансового обеспечения работ по проектированию,</w:t>
      </w:r>
    </w:p>
    <w:p w14:paraId="39000000" w14:textId="77777777" w:rsidR="00CF1CAF" w:rsidRDefault="00E87636">
      <w:pPr>
        <w:ind w:firstLine="709"/>
        <w:jc w:val="both"/>
      </w:pPr>
      <w:r>
        <w:t>изготовлению и установке мемориальной доски, другого памятного знака;</w:t>
      </w:r>
    </w:p>
    <w:p w14:paraId="3A000000" w14:textId="77777777" w:rsidR="00CF1CAF" w:rsidRDefault="00E87636">
      <w:pPr>
        <w:ind w:firstLine="709"/>
        <w:jc w:val="both"/>
      </w:pPr>
      <w:r>
        <w:t>5) ответственное лицо.</w:t>
      </w:r>
    </w:p>
    <w:p w14:paraId="3B000000" w14:textId="1085B094" w:rsidR="00CF1CAF" w:rsidRDefault="00581A80" w:rsidP="00581A80">
      <w:pPr>
        <w:jc w:val="both"/>
      </w:pPr>
      <w:r>
        <w:t xml:space="preserve">   </w:t>
      </w:r>
      <w:r w:rsidR="00E87636">
        <w:t xml:space="preserve"> Архитектурно-</w:t>
      </w:r>
      <w:proofErr w:type="gramStart"/>
      <w:r w:rsidR="00E87636">
        <w:t>художественное решение</w:t>
      </w:r>
      <w:proofErr w:type="gramEnd"/>
      <w:r w:rsidR="00E87636">
        <w:t xml:space="preserve"> мемориальной доски, другого памятного знака, не должно противоречить характеру места его установки, особенностям среды, в которую он привносится как новый элемент.</w:t>
      </w:r>
    </w:p>
    <w:p w14:paraId="3C000000" w14:textId="73D3E219" w:rsidR="00CF1CAF" w:rsidRDefault="00581A80" w:rsidP="00581A80">
      <w:pPr>
        <w:jc w:val="both"/>
      </w:pPr>
      <w:r>
        <w:t xml:space="preserve">    </w:t>
      </w:r>
      <w:r w:rsidR="00E87636">
        <w:t>При согласовании проекта и места установки мемориальной доски, другого памятного знака, учитываются следующие требования:</w:t>
      </w:r>
    </w:p>
    <w:p w14:paraId="3D000000" w14:textId="77777777" w:rsidR="00CF1CAF" w:rsidRDefault="00E87636">
      <w:pPr>
        <w:ind w:firstLine="709"/>
        <w:jc w:val="both"/>
      </w:pPr>
      <w:r>
        <w:t>1) 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</w:t>
      </w:r>
    </w:p>
    <w:p w14:paraId="3E000000" w14:textId="77777777" w:rsidR="00CF1CAF" w:rsidRDefault="00E87636">
      <w:pPr>
        <w:ind w:firstLine="709"/>
        <w:jc w:val="both"/>
      </w:pPr>
      <w:r>
        <w:t>2) в тексте мемориальной доски, другого памятного знака обязательны сведения о заслугах увековечиваемого лица;</w:t>
      </w:r>
    </w:p>
    <w:p w14:paraId="3F000000" w14:textId="77777777" w:rsidR="00CF1CAF" w:rsidRDefault="00E87636">
      <w:pPr>
        <w:ind w:firstLine="709"/>
        <w:jc w:val="both"/>
      </w:pPr>
      <w: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14:paraId="40000000" w14:textId="77777777" w:rsidR="00CF1CAF" w:rsidRDefault="00E87636">
      <w:pPr>
        <w:ind w:firstLine="709"/>
        <w:jc w:val="both"/>
      </w:pPr>
      <w: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14:paraId="41000000" w14:textId="77777777" w:rsidR="00CF1CAF" w:rsidRDefault="00E87636">
      <w:pPr>
        <w:ind w:firstLine="709"/>
        <w:jc w:val="both"/>
      </w:pPr>
      <w:r>
        <w:lastRenderedPageBreak/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14:paraId="42000000" w14:textId="610A3403" w:rsidR="00CF1CAF" w:rsidRDefault="00E87636">
      <w:pPr>
        <w:numPr>
          <w:ilvl w:val="0"/>
          <w:numId w:val="1"/>
        </w:numPr>
        <w:ind w:left="0" w:firstLine="709"/>
        <w:jc w:val="both"/>
      </w:pPr>
      <w:r>
        <w:t xml:space="preserve">Увековечение памяти погибших (умерших) уроженцев Администрации сельского поселения  </w:t>
      </w:r>
      <w:r w:rsidR="004A239E">
        <w:t>Бельский</w:t>
      </w:r>
      <w:r w:rsidR="004A239E">
        <w:t xml:space="preserve"> </w:t>
      </w:r>
      <w:r>
        <w:t xml:space="preserve">сельсовет </w:t>
      </w:r>
      <w:proofErr w:type="spellStart"/>
      <w:r>
        <w:t>Гафурийского</w:t>
      </w:r>
      <w:proofErr w:type="spellEnd"/>
      <w:r>
        <w:t xml:space="preserve"> района Республики Башкортостан в ходе специальной военной операции осуществляется за счет средств бюджета муниципального образования.</w:t>
      </w:r>
    </w:p>
    <w:sectPr w:rsidR="00CF1CAF">
      <w:headerReference w:type="even" r:id="rId9"/>
      <w:headerReference w:type="default" r:id="rId10"/>
      <w:pgSz w:w="11908" w:h="16848"/>
      <w:pgMar w:top="567" w:right="567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9544C" w14:textId="77777777" w:rsidR="0021189C" w:rsidRDefault="0021189C">
      <w:r>
        <w:separator/>
      </w:r>
    </w:p>
  </w:endnote>
  <w:endnote w:type="continuationSeparator" w:id="0">
    <w:p w14:paraId="2A2553F3" w14:textId="77777777" w:rsidR="0021189C" w:rsidRDefault="0021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C140" w14:textId="77777777" w:rsidR="0021189C" w:rsidRDefault="0021189C">
      <w:r>
        <w:separator/>
      </w:r>
    </w:p>
  </w:footnote>
  <w:footnote w:type="continuationSeparator" w:id="0">
    <w:p w14:paraId="27929F00" w14:textId="77777777" w:rsidR="0021189C" w:rsidRDefault="0021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CF1CAF" w:rsidRDefault="00E87636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CF1CAF" w:rsidRDefault="00E87636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 w14:textId="77777777" w:rsidR="00CF1CAF" w:rsidRDefault="00CF1CA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CF1CAF" w:rsidRDefault="00E87636">
    <w:pPr>
      <w:pStyle w:val="ad"/>
      <w:jc w:val="center"/>
    </w:pPr>
    <w:r>
      <w:fldChar w:fldCharType="begin"/>
    </w:r>
    <w:r>
      <w:instrText xml:space="preserve">PAGE </w:instrText>
    </w:r>
    <w:r>
      <w:fldChar w:fldCharType="separate"/>
    </w:r>
    <w:r w:rsidR="00763563">
      <w:t>4</w:t>
    </w:r>
    <w:r>
      <w:fldChar w:fldCharType="end"/>
    </w:r>
  </w:p>
  <w:p w14:paraId="05000000" w14:textId="77777777" w:rsidR="00CF1CAF" w:rsidRDefault="00CF1CA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74A9"/>
    <w:multiLevelType w:val="multilevel"/>
    <w:tmpl w:val="B6821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CAF"/>
    <w:rsid w:val="0021189C"/>
    <w:rsid w:val="004A239E"/>
    <w:rsid w:val="00581A80"/>
    <w:rsid w:val="00763563"/>
    <w:rsid w:val="00867999"/>
    <w:rsid w:val="00CF1CAF"/>
    <w:rsid w:val="00E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HTMLPreformatted1">
    <w:name w:val="HTML Preformatted1"/>
    <w:basedOn w:val="a"/>
    <w:link w:val="HTMLPreformatte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10">
    <w:name w:val="HTML Preformatted1"/>
    <w:basedOn w:val="1"/>
    <w:link w:val="HTMLPreformatted1"/>
    <w:rPr>
      <w:rFonts w:ascii="Courier New" w:hAnsi="Courier New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a9">
    <w:name w:val="Заголовок"/>
    <w:basedOn w:val="a"/>
    <w:next w:val="a7"/>
    <w:link w:val="aa"/>
    <w:pPr>
      <w:keepNext/>
      <w:spacing w:before="240" w:after="120"/>
    </w:pPr>
    <w:rPr>
      <w:rFonts w:ascii="Liberation Sans" w:hAnsi="Liberation Sans"/>
    </w:rPr>
  </w:style>
  <w:style w:type="character" w:customStyle="1" w:styleId="aa">
    <w:name w:val="Заголовок"/>
    <w:basedOn w:val="1"/>
    <w:link w:val="a9"/>
    <w:rPr>
      <w:rFonts w:ascii="Liberation Sans" w:hAnsi="Liberation San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b">
    <w:name w:val="List"/>
    <w:basedOn w:val="a7"/>
    <w:link w:val="ac"/>
  </w:style>
  <w:style w:type="character" w:customStyle="1" w:styleId="ac">
    <w:name w:val="Список Знак"/>
    <w:basedOn w:val="a8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name w:val="Колонтитул"/>
    <w:link w:val="af1"/>
    <w:pPr>
      <w:jc w:val="both"/>
    </w:pPr>
    <w:rPr>
      <w:rFonts w:ascii="XO Thames" w:hAnsi="XO Thames"/>
      <w:sz w:val="28"/>
    </w:rPr>
  </w:style>
  <w:style w:type="character" w:customStyle="1" w:styleId="af1">
    <w:name w:val="Колонтитул"/>
    <w:link w:val="af0"/>
    <w:rPr>
      <w:rFonts w:ascii="XO Thames" w:hAnsi="XO Thames"/>
      <w:color w:val="000000"/>
      <w:spacing w:val="0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f2">
    <w:name w:val="Body Text Indent"/>
    <w:basedOn w:val="a"/>
    <w:link w:val="af3"/>
    <w:pPr>
      <w:ind w:firstLine="900"/>
      <w:jc w:val="both"/>
    </w:p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4A23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A2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pagenumber1">
    <w:name w:val="page number1"/>
    <w:basedOn w:val="DefaultParagraphFont1"/>
    <w:link w:val="pagenumber10"/>
  </w:style>
  <w:style w:type="character" w:customStyle="1" w:styleId="pagenumber10">
    <w:name w:val="page number1"/>
    <w:basedOn w:val="DefaultParagraphFont10"/>
    <w:link w:val="pagenumber1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styleId="a5">
    <w:name w:val="index heading"/>
    <w:basedOn w:val="a"/>
    <w:link w:val="a6"/>
  </w:style>
  <w:style w:type="character" w:customStyle="1" w:styleId="a6">
    <w:name w:val="Указатель Знак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HTMLPreformatted1">
    <w:name w:val="HTML Preformatted1"/>
    <w:basedOn w:val="a"/>
    <w:link w:val="HTMLPreformatte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10">
    <w:name w:val="HTML Preformatted1"/>
    <w:basedOn w:val="1"/>
    <w:link w:val="HTMLPreformatted1"/>
    <w:rPr>
      <w:rFonts w:ascii="Courier New" w:hAnsi="Courier New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a9">
    <w:name w:val="Заголовок"/>
    <w:basedOn w:val="a"/>
    <w:next w:val="a7"/>
    <w:link w:val="aa"/>
    <w:pPr>
      <w:keepNext/>
      <w:spacing w:before="240" w:after="120"/>
    </w:pPr>
    <w:rPr>
      <w:rFonts w:ascii="Liberation Sans" w:hAnsi="Liberation Sans"/>
    </w:rPr>
  </w:style>
  <w:style w:type="character" w:customStyle="1" w:styleId="aa">
    <w:name w:val="Заголовок"/>
    <w:basedOn w:val="1"/>
    <w:link w:val="a9"/>
    <w:rPr>
      <w:rFonts w:ascii="Liberation Sans" w:hAnsi="Liberation San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ab">
    <w:name w:val="List"/>
    <w:basedOn w:val="a7"/>
    <w:link w:val="ac"/>
  </w:style>
  <w:style w:type="character" w:customStyle="1" w:styleId="ac">
    <w:name w:val="Список Знак"/>
    <w:basedOn w:val="a8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0">
    <w:name w:val="Колонтитул"/>
    <w:link w:val="af1"/>
    <w:pPr>
      <w:jc w:val="both"/>
    </w:pPr>
    <w:rPr>
      <w:rFonts w:ascii="XO Thames" w:hAnsi="XO Thames"/>
      <w:sz w:val="28"/>
    </w:rPr>
  </w:style>
  <w:style w:type="character" w:customStyle="1" w:styleId="af1">
    <w:name w:val="Колонтитул"/>
    <w:link w:val="af0"/>
    <w:rPr>
      <w:rFonts w:ascii="XO Thames" w:hAnsi="XO Thames"/>
      <w:color w:val="000000"/>
      <w:spacing w:val="0"/>
      <w:sz w:val="2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f2">
    <w:name w:val="Body Text Indent"/>
    <w:basedOn w:val="a"/>
    <w:link w:val="af3"/>
    <w:pPr>
      <w:ind w:firstLine="900"/>
      <w:jc w:val="both"/>
    </w:p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8">
    <w:name w:val="Balloon Text"/>
    <w:basedOn w:val="a"/>
    <w:link w:val="af9"/>
    <w:uiPriority w:val="99"/>
    <w:semiHidden/>
    <w:unhideWhenUsed/>
    <w:rsid w:val="004A23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A2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qqq</cp:lastModifiedBy>
  <cp:revision>4</cp:revision>
  <cp:lastPrinted>2026-06-02T06:19:00Z</cp:lastPrinted>
  <dcterms:created xsi:type="dcterms:W3CDTF">2026-05-28T09:13:00Z</dcterms:created>
  <dcterms:modified xsi:type="dcterms:W3CDTF">2026-06-02T06:27:00Z</dcterms:modified>
</cp:coreProperties>
</file>