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0569F" w:rsidRPr="00E0569F" w:rsidTr="002C3003">
        <w:trPr>
          <w:cantSplit/>
          <w:trHeight w:val="1141"/>
        </w:trPr>
        <w:tc>
          <w:tcPr>
            <w:tcW w:w="4360" w:type="dxa"/>
            <w:hideMark/>
          </w:tcPr>
          <w:p w:rsidR="00E0569F" w:rsidRPr="00E0569F" w:rsidRDefault="00E0569F" w:rsidP="00E0569F">
            <w:pPr>
              <w:keepNext/>
              <w:spacing w:before="120" w:after="60"/>
              <w:jc w:val="center"/>
              <w:outlineLvl w:val="1"/>
              <w:rPr>
                <w:b/>
                <w:bCs/>
                <w:spacing w:val="20"/>
                <w:sz w:val="16"/>
                <w:szCs w:val="16"/>
              </w:rPr>
            </w:pPr>
            <w:r w:rsidRPr="00E0569F">
              <w:rPr>
                <w:b/>
                <w:bCs/>
                <w:spacing w:val="20"/>
                <w:sz w:val="16"/>
                <w:szCs w:val="16"/>
              </w:rPr>
              <w:t xml:space="preserve">БАШКОРТОСТАН </w:t>
            </w:r>
            <w:proofErr w:type="spellStart"/>
            <w:r w:rsidRPr="00E0569F">
              <w:rPr>
                <w:b/>
                <w:bCs/>
                <w:spacing w:val="20"/>
                <w:sz w:val="16"/>
                <w:szCs w:val="16"/>
              </w:rPr>
              <w:t>РЕСПУБЛИКАһ</w:t>
            </w:r>
            <w:proofErr w:type="gramStart"/>
            <w:r w:rsidRPr="00E0569F">
              <w:rPr>
                <w:b/>
                <w:bCs/>
                <w:spacing w:val="20"/>
                <w:sz w:val="16"/>
                <w:szCs w:val="16"/>
              </w:rPr>
              <w:t>Ы</w:t>
            </w:r>
            <w:proofErr w:type="spellEnd"/>
            <w:proofErr w:type="gramEnd"/>
          </w:p>
          <w:p w:rsidR="00E0569F" w:rsidRPr="00E0569F" w:rsidRDefault="00E0569F" w:rsidP="00E0569F">
            <w:pPr>
              <w:jc w:val="center"/>
              <w:rPr>
                <w:b/>
                <w:bCs/>
                <w:sz w:val="28"/>
                <w:szCs w:val="28"/>
              </w:rPr>
            </w:pPr>
            <w:r w:rsidRPr="00E0569F">
              <w:rPr>
                <w:b/>
                <w:bCs/>
                <w:sz w:val="28"/>
                <w:szCs w:val="28"/>
              </w:rPr>
              <w:t>ГАФУРИ РАЙОНЫ</w:t>
            </w:r>
            <w:r w:rsidRPr="00E0569F">
              <w:rPr>
                <w:b/>
                <w:bCs/>
                <w:sz w:val="28"/>
                <w:szCs w:val="28"/>
              </w:rPr>
              <w:br/>
              <w:t>МУНИЦИПАЛЬ РАЙОНЫН</w:t>
            </w:r>
            <w:r w:rsidRPr="00E0569F">
              <w:rPr>
                <w:b/>
                <w:bCs/>
                <w:sz w:val="28"/>
                <w:szCs w:val="28"/>
              </w:rPr>
              <w:br/>
              <w:t>БЕЛЬСКИЙ АУЫЛ СОВЕТЫ</w:t>
            </w:r>
            <w:r w:rsidRPr="00E0569F">
              <w:rPr>
                <w:b/>
                <w:bCs/>
                <w:sz w:val="28"/>
                <w:szCs w:val="28"/>
              </w:rPr>
              <w:br/>
              <w:t>АУЫЛ БИЛӘМӘ</w:t>
            </w:r>
            <w:proofErr w:type="gramStart"/>
            <w:r w:rsidRPr="00E0569F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E0569F">
              <w:rPr>
                <w:b/>
                <w:bCs/>
                <w:sz w:val="28"/>
                <w:szCs w:val="28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0569F" w:rsidRPr="00E0569F" w:rsidRDefault="00E0569F" w:rsidP="00E0569F">
            <w:pPr>
              <w:spacing w:before="120"/>
              <w:ind w:left="-107"/>
              <w:rPr>
                <w:b/>
                <w:bCs/>
                <w:sz w:val="24"/>
                <w:szCs w:val="24"/>
              </w:rPr>
            </w:pPr>
            <w:r w:rsidRPr="00E0569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0FF142" wp14:editId="33A74FFD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E0569F" w:rsidRPr="00E0569F" w:rsidRDefault="00E0569F" w:rsidP="00E0569F">
            <w:pPr>
              <w:keepNext/>
              <w:spacing w:before="120" w:after="60"/>
              <w:jc w:val="center"/>
              <w:outlineLvl w:val="0"/>
              <w:rPr>
                <w:b/>
                <w:bCs/>
                <w:spacing w:val="20"/>
                <w:sz w:val="16"/>
                <w:szCs w:val="16"/>
              </w:rPr>
            </w:pPr>
            <w:r w:rsidRPr="00E0569F">
              <w:rPr>
                <w:b/>
                <w:bCs/>
                <w:spacing w:val="20"/>
                <w:sz w:val="16"/>
                <w:szCs w:val="16"/>
              </w:rPr>
              <w:t>РЕСПУБЛИКА БАШКОРТОСТАН</w:t>
            </w:r>
          </w:p>
          <w:p w:rsidR="00E0569F" w:rsidRPr="00E0569F" w:rsidRDefault="00E0569F" w:rsidP="00E0569F">
            <w:pPr>
              <w:jc w:val="center"/>
              <w:rPr>
                <w:b/>
                <w:bCs/>
                <w:sz w:val="28"/>
                <w:szCs w:val="28"/>
              </w:rPr>
            </w:pPr>
            <w:r w:rsidRPr="00E0569F">
              <w:rPr>
                <w:b/>
                <w:bCs/>
                <w:sz w:val="28"/>
                <w:szCs w:val="28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E0569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569F" w:rsidRPr="00E0569F" w:rsidTr="002C3003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0569F" w:rsidRPr="00E0569F" w:rsidRDefault="00E0569F" w:rsidP="00E0569F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569F">
              <w:rPr>
                <w:rFonts w:eastAsia="Calibri"/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0569F" w:rsidRPr="00E0569F" w:rsidRDefault="00E0569F" w:rsidP="00E0569F">
            <w:pPr>
              <w:spacing w:before="120"/>
              <w:ind w:left="-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0569F" w:rsidRPr="00E0569F" w:rsidRDefault="00E0569F" w:rsidP="00E0569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0569F">
              <w:rPr>
                <w:b/>
                <w:bCs/>
                <w:sz w:val="28"/>
                <w:szCs w:val="28"/>
              </w:rPr>
              <w:t>РЕШЕНИЕ</w:t>
            </w:r>
          </w:p>
          <w:p w:rsidR="00E0569F" w:rsidRPr="00E0569F" w:rsidRDefault="00E0569F" w:rsidP="00E0569F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E0569F" w:rsidRDefault="00E0569F" w:rsidP="00E05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69F" w:rsidRDefault="00E0569F" w:rsidP="00E0569F">
      <w:pPr>
        <w:jc w:val="center"/>
        <w:rPr>
          <w:sz w:val="28"/>
          <w:szCs w:val="28"/>
        </w:rPr>
      </w:pPr>
    </w:p>
    <w:p w:rsidR="00E0569F" w:rsidRDefault="00E0569F" w:rsidP="00E05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>
        <w:rPr>
          <w:b/>
          <w:sz w:val="28"/>
          <w:szCs w:val="28"/>
        </w:rPr>
        <w:t xml:space="preserve">Бельский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</w:t>
      </w:r>
    </w:p>
    <w:p w:rsidR="00E0569F" w:rsidRDefault="00E0569F" w:rsidP="00E0569F">
      <w:pPr>
        <w:rPr>
          <w:sz w:val="28"/>
          <w:szCs w:val="28"/>
        </w:rPr>
      </w:pPr>
    </w:p>
    <w:p w:rsidR="00E0569F" w:rsidRDefault="00E0569F" w:rsidP="00E0569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1 статьи 21 Устава сельского поселения </w:t>
      </w:r>
      <w:r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E0569F" w:rsidRDefault="00E0569F" w:rsidP="00E056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 сельского поселения</w:t>
      </w:r>
      <w:r>
        <w:rPr>
          <w:sz w:val="28"/>
          <w:szCs w:val="28"/>
        </w:rPr>
        <w:t xml:space="preserve"> Бельский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формирующуюся в декабре 2015 года.</w:t>
      </w:r>
    </w:p>
    <w:p w:rsidR="00E0569F" w:rsidRDefault="00E0569F" w:rsidP="00E056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E0569F" w:rsidRDefault="00E0569F" w:rsidP="00E0569F">
      <w:pPr>
        <w:jc w:val="both"/>
        <w:rPr>
          <w:sz w:val="26"/>
          <w:szCs w:val="26"/>
        </w:rPr>
      </w:pPr>
    </w:p>
    <w:p w:rsidR="00E0569F" w:rsidRDefault="00E0569F" w:rsidP="00E05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</w:t>
      </w:r>
    </w:p>
    <w:p w:rsidR="00E0569F" w:rsidRDefault="00E0569F" w:rsidP="00E0569F">
      <w:pPr>
        <w:tabs>
          <w:tab w:val="left" w:pos="2991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E0569F" w:rsidRDefault="00E0569F" w:rsidP="00E0569F">
      <w:pPr>
        <w:rPr>
          <w:sz w:val="28"/>
          <w:szCs w:val="28"/>
        </w:rPr>
      </w:pPr>
    </w:p>
    <w:p w:rsidR="00E0569F" w:rsidRDefault="00E0569F" w:rsidP="00E0569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Инзелга</w:t>
      </w:r>
      <w:proofErr w:type="spellEnd"/>
      <w:r>
        <w:rPr>
          <w:sz w:val="28"/>
          <w:szCs w:val="28"/>
        </w:rPr>
        <w:t>,</w:t>
      </w:r>
    </w:p>
    <w:p w:rsidR="00E0569F" w:rsidRDefault="00E0569F" w:rsidP="00E0569F">
      <w:pPr>
        <w:rPr>
          <w:sz w:val="28"/>
          <w:szCs w:val="28"/>
        </w:rPr>
      </w:pPr>
      <w:r>
        <w:rPr>
          <w:sz w:val="28"/>
          <w:szCs w:val="28"/>
        </w:rPr>
        <w:t>от 09.11. 2015 года</w:t>
      </w:r>
    </w:p>
    <w:p w:rsidR="00E0569F" w:rsidRDefault="00E0569F" w:rsidP="00E0569F">
      <w:pPr>
        <w:rPr>
          <w:sz w:val="28"/>
          <w:szCs w:val="28"/>
        </w:rPr>
      </w:pPr>
      <w:r>
        <w:rPr>
          <w:sz w:val="28"/>
          <w:szCs w:val="28"/>
        </w:rPr>
        <w:t xml:space="preserve"> №6</w:t>
      </w:r>
      <w:bookmarkStart w:id="0" w:name="_GoBack"/>
      <w:bookmarkEnd w:id="0"/>
      <w:r>
        <w:rPr>
          <w:sz w:val="28"/>
          <w:szCs w:val="28"/>
        </w:rPr>
        <w:t>-13з</w:t>
      </w:r>
    </w:p>
    <w:p w:rsidR="00C65F66" w:rsidRDefault="00C65F66"/>
    <w:sectPr w:rsidR="00C6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F"/>
    <w:rsid w:val="00C65F66"/>
    <w:rsid w:val="00E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Office Word</Application>
  <DocSecurity>0</DocSecurity>
  <Lines>12</Lines>
  <Paragraphs>3</Paragraphs>
  <ScaleCrop>false</ScaleCrop>
  <Company>Krokoz™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2015-11-09T09:33:00Z</dcterms:created>
  <dcterms:modified xsi:type="dcterms:W3CDTF">2015-11-09T09:41:00Z</dcterms:modified>
</cp:coreProperties>
</file>