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3"/>
        <w:tblW w:w="10542" w:type="dxa"/>
        <w:tblLook w:val="01E0" w:firstRow="1" w:lastRow="1" w:firstColumn="1" w:lastColumn="1" w:noHBand="0" w:noVBand="0"/>
      </w:tblPr>
      <w:tblGrid>
        <w:gridCol w:w="10536"/>
        <w:gridCol w:w="222"/>
        <w:gridCol w:w="222"/>
      </w:tblGrid>
      <w:tr w:rsidR="00CD07F6" w:rsidRPr="00CD07F6" w:rsidTr="007B5C9F">
        <w:trPr>
          <w:trHeight w:val="2199"/>
        </w:trPr>
        <w:tc>
          <w:tcPr>
            <w:tcW w:w="4599" w:type="dxa"/>
          </w:tcPr>
          <w:tbl>
            <w:tblPr>
              <w:tblW w:w="10320" w:type="dxa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363"/>
              <w:gridCol w:w="1418"/>
              <w:gridCol w:w="4539"/>
            </w:tblGrid>
            <w:tr w:rsidR="00CD07F6" w:rsidRPr="00CD07F6" w:rsidTr="007B5C9F">
              <w:trPr>
                <w:cantSplit/>
                <w:trHeight w:val="1141"/>
              </w:trPr>
              <w:tc>
                <w:tcPr>
                  <w:tcW w:w="4360" w:type="dxa"/>
                  <w:hideMark/>
                </w:tcPr>
                <w:p w:rsidR="00CD07F6" w:rsidRPr="00CD07F6" w:rsidRDefault="00CD07F6" w:rsidP="00CD07F6">
                  <w:pPr>
                    <w:keepNext/>
                    <w:framePr w:hSpace="180" w:wrap="around" w:vAnchor="page" w:hAnchor="margin" w:y="573"/>
                    <w:spacing w:before="120"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16"/>
                      <w:szCs w:val="16"/>
                      <w:lang w:eastAsia="ru-RU"/>
                    </w:rPr>
                  </w:pPr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16"/>
                      <w:szCs w:val="16"/>
                      <w:lang w:eastAsia="ru-RU"/>
                    </w:rPr>
                    <w:t xml:space="preserve">БАШКОРТОСТАН </w:t>
                  </w:r>
                  <w:proofErr w:type="spellStart"/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16"/>
                      <w:szCs w:val="16"/>
                      <w:lang w:eastAsia="ru-RU"/>
                    </w:rPr>
                    <w:t>РЕСПУБЛИКАһ</w:t>
                  </w:r>
                  <w:proofErr w:type="gramStart"/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16"/>
                      <w:szCs w:val="16"/>
                      <w:lang w:eastAsia="ru-RU"/>
                    </w:rPr>
                    <w:t>Ы</w:t>
                  </w:r>
                  <w:proofErr w:type="spellEnd"/>
                  <w:proofErr w:type="gramEnd"/>
                </w:p>
                <w:p w:rsidR="00CD07F6" w:rsidRPr="00CD07F6" w:rsidRDefault="00CD07F6" w:rsidP="00CD07F6">
                  <w:pPr>
                    <w:framePr w:hSpace="180" w:wrap="around" w:vAnchor="page" w:hAnchor="margin" w:y="5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ГАФУРИ РАЙОНЫ</w:t>
                  </w:r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МУНИЦИПАЛЬ РАЙОНЫН</w:t>
                  </w:r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БЕЛЬСКИЙ АУЫЛ СОВЕТЫ</w:t>
                  </w:r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АУЫЛ БИЛӘМӘ</w:t>
                  </w:r>
                  <w:proofErr w:type="gramStart"/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h</w:t>
                  </w:r>
                  <w:proofErr w:type="gramEnd"/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              СОВЕТЫ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thinThickThinSmallGap" w:sz="24" w:space="0" w:color="auto"/>
                    <w:right w:val="nil"/>
                  </w:tcBorders>
                  <w:hideMark/>
                </w:tcPr>
                <w:p w:rsidR="00CD07F6" w:rsidRPr="00CD07F6" w:rsidRDefault="00CD07F6" w:rsidP="00CD07F6">
                  <w:pPr>
                    <w:framePr w:hSpace="180" w:wrap="around" w:vAnchor="page" w:hAnchor="margin" w:y="573"/>
                    <w:spacing w:before="120" w:after="0" w:line="240" w:lineRule="auto"/>
                    <w:ind w:left="-10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7F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1875EF" wp14:editId="38710500">
                        <wp:extent cx="819150" cy="1019175"/>
                        <wp:effectExtent l="0" t="0" r="0" b="9525"/>
                        <wp:docPr id="4" name="Рисунок 4" descr="Описание: 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CD07F6" w:rsidRPr="00CD07F6" w:rsidRDefault="00CD07F6" w:rsidP="00CD07F6">
                  <w:pPr>
                    <w:keepNext/>
                    <w:framePr w:hSpace="180" w:wrap="around" w:vAnchor="page" w:hAnchor="margin" w:y="573"/>
                    <w:spacing w:before="120" w:after="6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16"/>
                      <w:szCs w:val="16"/>
                      <w:lang w:eastAsia="ru-RU"/>
                    </w:rPr>
                  </w:pPr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16"/>
                      <w:szCs w:val="16"/>
                      <w:lang w:eastAsia="ru-RU"/>
                    </w:rPr>
                    <w:t>РЕСПУБЛИКА БАШКОРТОСТАН</w:t>
                  </w:r>
                </w:p>
                <w:p w:rsidR="00CD07F6" w:rsidRPr="00CD07F6" w:rsidRDefault="00CD07F6" w:rsidP="00CD07F6">
                  <w:pPr>
                    <w:framePr w:hSpace="180" w:wrap="around" w:vAnchor="page" w:hAnchor="margin" w:y="5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СОВЕТ СЕЛЬСКОГО              ПОСЕЛЕНИЯ БЕЛЬСКИЙ СЕЛЬСОВЕТ                             МУНИЦИПАЛЬНОГО РАЙОНА ГАФУРИЙСКИЙ РАЙОН</w:t>
                  </w:r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D07F6" w:rsidRPr="00CD07F6" w:rsidTr="007B5C9F">
              <w:trPr>
                <w:cantSplit/>
                <w:trHeight w:val="375"/>
              </w:trPr>
              <w:tc>
                <w:tcPr>
                  <w:tcW w:w="4360" w:type="dxa"/>
                  <w:tcBorders>
                    <w:top w:val="thinThickThin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D07F6" w:rsidRPr="00CD07F6" w:rsidRDefault="00CD07F6" w:rsidP="00CD07F6">
                  <w:pPr>
                    <w:framePr w:hSpace="180" w:wrap="around" w:vAnchor="page" w:hAnchor="margin" w:y="573"/>
                    <w:tabs>
                      <w:tab w:val="left" w:pos="708"/>
                      <w:tab w:val="center" w:pos="4677"/>
                      <w:tab w:val="right" w:pos="9355"/>
                    </w:tabs>
                    <w:spacing w:before="60" w:after="4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CD07F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КАРАР</w:t>
                  </w:r>
                </w:p>
              </w:tc>
              <w:tc>
                <w:tcPr>
                  <w:tcW w:w="1417" w:type="dxa"/>
                  <w:tcBorders>
                    <w:top w:val="thinThickThinSmallGap" w:sz="2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D07F6" w:rsidRPr="00CD07F6" w:rsidRDefault="00CD07F6" w:rsidP="00CD07F6">
                  <w:pPr>
                    <w:framePr w:hSpace="180" w:wrap="around" w:vAnchor="page" w:hAnchor="margin" w:y="573"/>
                    <w:spacing w:before="120" w:after="0" w:line="240" w:lineRule="auto"/>
                    <w:ind w:left="-10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thinThickThinSmallGap" w:sz="24" w:space="0" w:color="auto"/>
                    <w:left w:val="nil"/>
                    <w:bottom w:val="nil"/>
                    <w:right w:val="nil"/>
                  </w:tcBorders>
                </w:tcPr>
                <w:p w:rsidR="00CD07F6" w:rsidRPr="00CD07F6" w:rsidRDefault="00CD07F6" w:rsidP="00CD07F6">
                  <w:pPr>
                    <w:framePr w:hSpace="180" w:wrap="around" w:vAnchor="page" w:hAnchor="margin" w:y="573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D07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CD07F6" w:rsidRPr="00CD07F6" w:rsidRDefault="00CD07F6" w:rsidP="00CD07F6">
                  <w:pPr>
                    <w:framePr w:hSpace="180" w:wrap="around" w:vAnchor="page" w:hAnchor="margin" w:y="573"/>
                    <w:spacing w:before="60" w:after="40" w:line="240" w:lineRule="auto"/>
                    <w:ind w:left="1027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966" w:type="dxa"/>
          </w:tcPr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977" w:type="dxa"/>
          </w:tcPr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CD07F6" w:rsidRPr="00CD07F6" w:rsidRDefault="00CD07F6" w:rsidP="00CD0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CD07F6" w:rsidRPr="00CD07F6" w:rsidRDefault="00CD07F6" w:rsidP="00CD07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7F6" w:rsidRPr="00CD07F6" w:rsidRDefault="00CD07F6" w:rsidP="00CD07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между Администрацией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Администрацией сельского поселения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льский сельсовет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Бельский сельсовет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D07F6" w:rsidRDefault="00CD07F6" w:rsidP="00CD07F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F6" w:rsidRPr="00CD07F6" w:rsidRDefault="00CD07F6" w:rsidP="00CD07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F6" w:rsidRPr="00CD07F6" w:rsidRDefault="00CD07F6" w:rsidP="00CD0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ст.3.3 Федерального закона от 25.10.2001г. №137-ФЗ «О введении в действие Земельного кодекса Российской Федерации», Федеральным законом «Об основах местного самоуправлении в Российской Федерации», Законом Республики Башкортостан от 05.01.2004 года №59-з «О регулировании земельных отношений в Республике Башкортостан», Совет сельского поселения Бельский сельсовет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  <w:proofErr w:type="gramEnd"/>
    </w:p>
    <w:p w:rsidR="00CD07F6" w:rsidRPr="00CD07F6" w:rsidRDefault="00CD07F6" w:rsidP="00CD07F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прилагаемое Соглашение между Администрацией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Администрацией сельского поселения Бельский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Бельский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D07F6" w:rsidRPr="00CD07F6" w:rsidRDefault="00CD07F6" w:rsidP="00CD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Бельский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обеспечить исполнение  настоящего решения.</w:t>
      </w:r>
    </w:p>
    <w:p w:rsidR="00CD07F6" w:rsidRPr="00CD07F6" w:rsidRDefault="00CD07F6" w:rsidP="00CD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решение на официальном сайте и на информационных стендах Администрации сельского поселения Бельский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D07F6" w:rsidRPr="00CD07F6" w:rsidRDefault="00CD07F6" w:rsidP="00CD07F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его опубликования.</w:t>
      </w:r>
    </w:p>
    <w:p w:rsidR="00CD07F6" w:rsidRPr="00CD07F6" w:rsidRDefault="00CD07F6" w:rsidP="00CD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F6" w:rsidRPr="00CD07F6" w:rsidRDefault="00CD07F6" w:rsidP="00CD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BAD" w:rsidRDefault="00CD07F6" w:rsidP="00CD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07F6" w:rsidRPr="00CD07F6" w:rsidRDefault="00CD07F6" w:rsidP="00CD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D07F6" w:rsidRPr="00CD07F6" w:rsidRDefault="00CD07F6" w:rsidP="00CD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</w:p>
    <w:p w:rsidR="00CD07F6" w:rsidRPr="00CD07F6" w:rsidRDefault="00CD07F6" w:rsidP="00CD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D">
        <w:rPr>
          <w:rFonts w:ascii="Times New Roman" w:eastAsia="Times New Roman" w:hAnsi="Times New Roman" w:cs="Times New Roman"/>
          <w:sz w:val="28"/>
          <w:szCs w:val="28"/>
          <w:lang w:eastAsia="ru-RU"/>
        </w:rPr>
        <w:t>«11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264B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D07F6" w:rsidRPr="00CD07F6" w:rsidRDefault="00CD07F6" w:rsidP="00CD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64BAD">
        <w:rPr>
          <w:rFonts w:ascii="Times New Roman" w:eastAsia="Times New Roman" w:hAnsi="Times New Roman" w:cs="Times New Roman"/>
          <w:sz w:val="28"/>
          <w:szCs w:val="28"/>
          <w:lang w:eastAsia="ru-RU"/>
        </w:rPr>
        <w:t>19-35з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07F6" w:rsidRPr="00CD07F6" w:rsidRDefault="00CD07F6" w:rsidP="0026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Y="125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D07F6" w:rsidRPr="00CD07F6" w:rsidTr="000054C8">
        <w:tc>
          <w:tcPr>
            <w:tcW w:w="5210" w:type="dxa"/>
          </w:tcPr>
          <w:p w:rsidR="00CD07F6" w:rsidRPr="00CD07F6" w:rsidRDefault="00CD07F6" w:rsidP="00CD07F6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Утверждено </w:t>
            </w:r>
          </w:p>
          <w:p w:rsidR="00CD07F6" w:rsidRPr="00CD07F6" w:rsidRDefault="00CD07F6" w:rsidP="00CD07F6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Решением Совета</w:t>
            </w:r>
          </w:p>
          <w:p w:rsidR="00CD07F6" w:rsidRPr="00CD07F6" w:rsidRDefault="00CD07F6" w:rsidP="00CD07F6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Гафурийский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</w:t>
            </w:r>
          </w:p>
          <w:p w:rsidR="00CD07F6" w:rsidRPr="00CD07F6" w:rsidRDefault="00CD07F6" w:rsidP="00CD07F6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Башкортостан</w:t>
            </w:r>
          </w:p>
          <w:p w:rsidR="00CD07F6" w:rsidRPr="00CD07F6" w:rsidRDefault="00CD07F6" w:rsidP="00CD07F6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№____ от «__»_________2016г.</w:t>
            </w:r>
          </w:p>
        </w:tc>
        <w:tc>
          <w:tcPr>
            <w:tcW w:w="5211" w:type="dxa"/>
          </w:tcPr>
          <w:p w:rsidR="00CD07F6" w:rsidRPr="00CD07F6" w:rsidRDefault="00CD07F6" w:rsidP="00CD07F6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Утверждено </w:t>
            </w:r>
          </w:p>
          <w:p w:rsidR="00CD07F6" w:rsidRPr="00CD07F6" w:rsidRDefault="00CD07F6" w:rsidP="00CD07F6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Решением Совета сельского поселения 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Бельский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Гафурийский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</w:t>
            </w:r>
          </w:p>
          <w:p w:rsidR="00CD07F6" w:rsidRPr="00CD07F6" w:rsidRDefault="00CD07F6" w:rsidP="00CD07F6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Башкортостан</w:t>
            </w:r>
          </w:p>
          <w:p w:rsidR="00CD07F6" w:rsidRPr="00CD07F6" w:rsidRDefault="00CD07F6" w:rsidP="00CD07F6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№19-35з  от «11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 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2016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</w:tr>
    </w:tbl>
    <w:p w:rsidR="00CD07F6" w:rsidRPr="00CD07F6" w:rsidRDefault="00CD07F6" w:rsidP="0026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07F6" w:rsidRPr="00CD07F6" w:rsidRDefault="00CD07F6" w:rsidP="00CD07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СОГЛАШЕНИЕ </w:t>
      </w:r>
    </w:p>
    <w:p w:rsidR="00CD07F6" w:rsidRPr="00CD07F6" w:rsidRDefault="00CD07F6" w:rsidP="00CD07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между Администрацией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</w:t>
      </w:r>
    </w:p>
    <w:p w:rsidR="00CD07F6" w:rsidRPr="00CD07F6" w:rsidRDefault="00CD07F6" w:rsidP="00CD07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и Администрацией сельского поселения </w:t>
      </w:r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Бель</w:t>
      </w:r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ский сельсовет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</w:p>
    <w:p w:rsidR="00CD07F6" w:rsidRPr="00CD07F6" w:rsidRDefault="00CD07F6" w:rsidP="00CD07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</w:t>
      </w:r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Бель</w:t>
      </w:r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ский сельсовет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</w:t>
      </w:r>
    </w:p>
    <w:p w:rsidR="00CD07F6" w:rsidRPr="00CD07F6" w:rsidRDefault="00CD07F6" w:rsidP="00CD07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F6" w:rsidRPr="00CD07F6" w:rsidRDefault="00CD07F6" w:rsidP="00CD07F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07F6" w:rsidRPr="00CD07F6" w:rsidRDefault="00CD07F6" w:rsidP="00CD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Pr="00CD07F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Бель</w:t>
      </w:r>
      <w:r w:rsidRPr="00CD07F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именуемая в дальнейшем «Администрация поселения», в лице главы сельского поселения </w:t>
      </w:r>
      <w:r w:rsidRPr="00CD07F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Бельский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действующего на основании Устава сельского поселения </w:t>
      </w:r>
      <w:r w:rsidRPr="00CD07F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Бельский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 одной стороны, и Администрация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именуемая в дальнейшем «Администрация района», в</w:t>
      </w:r>
      <w:proofErr w:type="gram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действующего на основании Устава муниципального района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 другой стороны, заключили настоящее Соглашение о нижеследующем. </w:t>
      </w:r>
    </w:p>
    <w:p w:rsidR="00CD07F6" w:rsidRPr="00CD07F6" w:rsidRDefault="00CD07F6" w:rsidP="00CD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F6" w:rsidRPr="00CD07F6" w:rsidRDefault="00CD07F6" w:rsidP="00CD07F6">
      <w:pPr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принципы соглашения</w:t>
      </w:r>
    </w:p>
    <w:p w:rsidR="00CD07F6" w:rsidRPr="00CD07F6" w:rsidRDefault="00CD07F6" w:rsidP="00CD07F6">
      <w:pPr>
        <w:autoSpaceDE w:val="0"/>
        <w:autoSpaceDN w:val="0"/>
        <w:adjustRightInd w:val="0"/>
        <w:spacing w:before="268" w:after="0" w:line="316" w:lineRule="exact"/>
        <w:ind w:left="33" w:right="4" w:firstLine="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осуществление содействия Администрацией района в решении Администрацией поселения следующих вопросов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D07F6" w:rsidRPr="00CD07F6" w:rsidRDefault="00CD07F6" w:rsidP="00CD07F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организация согласований в случае необходимости подготавливаемых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проектов решений и документов Администрации поселений по вопросам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управления и распоряжения земельными участками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государственная собственность на которые не разграничена с органами и учреждениями муниципального района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также органами государственной власти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7F6" w:rsidRPr="00CD07F6" w:rsidRDefault="00CD07F6" w:rsidP="00CD07F6">
      <w:pPr>
        <w:autoSpaceDE w:val="0"/>
        <w:autoSpaceDN w:val="0"/>
        <w:adjustRightInd w:val="0"/>
        <w:spacing w:before="4" w:after="0" w:line="312" w:lineRule="exact"/>
        <w:ind w:left="48" w:right="19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подготовка проектов решений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договоров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соглашений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иных документов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по вопросам управления и распоряжения земельными участками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государственная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собственность на которые не разграничена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расположенными на территории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поселения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том числе по вопросам предоставления в собственность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аренду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постоянное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бессрочное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пользование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безвозмездное пользование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выдачи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разрешения на использование без предоставления и установления сервитута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обмене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перераспределении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подготовки схемы расположения на кадастровом плане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территории в случаях установленных</w:t>
      </w:r>
      <w:proofErr w:type="gramEnd"/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Земельным к</w:t>
      </w:r>
      <w:r w:rsidR="00264B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одексом Российской Федерации и </w:t>
      </w:r>
      <w:bookmarkStart w:id="0" w:name="_GoBack"/>
      <w:bookmarkEnd w:id="0"/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ее утверждение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утверждения категории и разрешенного вида пользования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организации торгов по их продаже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также торгов на право заключения договоров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аренды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заключений по согласованию местоположения их границ в случае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выполнения соответствующих кадастровых работ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результате которых уточняется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местоположение границ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установления любых видов ограниченного пользования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сервитутов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или иных ограничений по их использованию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установленных</w:t>
      </w:r>
      <w:proofErr w:type="gramEnd"/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Земельным кодексом Российской Федерации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федеральными законами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D07F6" w:rsidRPr="00CD07F6" w:rsidRDefault="00CD07F6" w:rsidP="00CD07F6">
      <w:pPr>
        <w:autoSpaceDE w:val="0"/>
        <w:autoSpaceDN w:val="0"/>
        <w:adjustRightInd w:val="0"/>
        <w:spacing w:before="4" w:after="0" w:line="312" w:lineRule="exact"/>
        <w:ind w:left="48" w:right="19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организация взаимодействия между органами государственной власти и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муниципальными образованиями по вопросам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определенным настоящим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Соглашением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07F6" w:rsidRPr="00CD07F6" w:rsidRDefault="00CD07F6" w:rsidP="00CD07F6">
      <w:pPr>
        <w:autoSpaceDE w:val="0"/>
        <w:autoSpaceDN w:val="0"/>
        <w:adjustRightInd w:val="0"/>
        <w:spacing w:after="0" w:line="312" w:lineRule="exact"/>
        <w:ind w:left="724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Настоящее Соглашение основано на следующих принципах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D07F6" w:rsidRPr="00CD07F6" w:rsidRDefault="00CD07F6" w:rsidP="00CD07F6">
      <w:pPr>
        <w:autoSpaceDE w:val="0"/>
        <w:autoSpaceDN w:val="0"/>
        <w:adjustRightInd w:val="0"/>
        <w:spacing w:after="0" w:line="321" w:lineRule="exact"/>
        <w:ind w:left="43" w:right="24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обеспечение интересов населения поселения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оказание содействия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населению в осуществлении права на местное самоуправление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D07F6" w:rsidRPr="00CD07F6" w:rsidRDefault="00CD07F6" w:rsidP="00CD07F6">
      <w:pPr>
        <w:autoSpaceDE w:val="0"/>
        <w:autoSpaceDN w:val="0"/>
        <w:adjustRightInd w:val="0"/>
        <w:spacing w:after="0" w:line="321" w:lineRule="exact"/>
        <w:ind w:left="43" w:right="24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содействие эффективному развитию местного самоуправления на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территории поселения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D07F6" w:rsidRPr="00CD07F6" w:rsidRDefault="00CD07F6" w:rsidP="00CD07F6">
      <w:pPr>
        <w:autoSpaceDE w:val="0"/>
        <w:autoSpaceDN w:val="0"/>
        <w:adjustRightInd w:val="0"/>
        <w:spacing w:after="0" w:line="321" w:lineRule="exact"/>
        <w:ind w:left="43" w:right="24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 необходимых правовых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организационных условий для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становления и развития местного самоуправления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D07F6" w:rsidRPr="00CD07F6" w:rsidRDefault="00CD07F6" w:rsidP="00CD07F6">
      <w:pPr>
        <w:tabs>
          <w:tab w:val="left" w:pos="691"/>
          <w:tab w:val="left" w:pos="1401"/>
          <w:tab w:val="left" w:pos="3936"/>
          <w:tab w:val="left" w:pos="6245"/>
          <w:tab w:val="left" w:pos="8803"/>
        </w:tabs>
        <w:autoSpaceDE w:val="0"/>
        <w:autoSpaceDN w:val="0"/>
        <w:adjustRightInd w:val="0"/>
        <w:spacing w:after="0" w:line="321" w:lineRule="exac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самостоятельное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осуществление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Администрацией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принадлежащих им полномочий по принятию решений по распоряжению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земельными участками, государственная собственность на которые не разграничена;</w:t>
      </w:r>
    </w:p>
    <w:p w:rsidR="00CD07F6" w:rsidRPr="00CD07F6" w:rsidRDefault="00CD07F6" w:rsidP="00CD07F6">
      <w:pPr>
        <w:tabs>
          <w:tab w:val="left" w:pos="691"/>
          <w:tab w:val="left" w:pos="1401"/>
          <w:tab w:val="left" w:pos="3936"/>
          <w:tab w:val="left" w:pos="6245"/>
          <w:tab w:val="left" w:pos="8803"/>
        </w:tabs>
        <w:autoSpaceDE w:val="0"/>
        <w:autoSpaceDN w:val="0"/>
        <w:adjustRightInd w:val="0"/>
        <w:spacing w:after="0" w:line="321" w:lineRule="exac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д) единство земельной политики; </w:t>
      </w:r>
    </w:p>
    <w:p w:rsidR="00CD07F6" w:rsidRPr="00CD07F6" w:rsidRDefault="00CD07F6" w:rsidP="00CD07F6">
      <w:pPr>
        <w:autoSpaceDE w:val="0"/>
        <w:autoSpaceDN w:val="0"/>
        <w:adjustRightInd w:val="0"/>
        <w:spacing w:after="0" w:line="321" w:lineRule="exact"/>
        <w:ind w:left="43" w:right="24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качественное оформление документов с учетом норм действующего </w:t>
      </w:r>
      <w:r w:rsidRPr="00CD07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законодательства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07F6" w:rsidRPr="00CD07F6" w:rsidRDefault="00CD07F6" w:rsidP="00CD0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7F6" w:rsidRPr="00CD07F6" w:rsidRDefault="00CD07F6" w:rsidP="00CD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D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сторон</w:t>
      </w:r>
    </w:p>
    <w:p w:rsidR="00CD07F6" w:rsidRPr="00CD07F6" w:rsidRDefault="00CD07F6" w:rsidP="00CD07F6">
      <w:pPr>
        <w:autoSpaceDE w:val="0"/>
        <w:autoSpaceDN w:val="0"/>
        <w:adjustRightInd w:val="0"/>
        <w:spacing w:before="292" w:after="0" w:line="312" w:lineRule="exact"/>
        <w:ind w:left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Обязанности Администрации поселения: </w:t>
      </w:r>
    </w:p>
    <w:p w:rsidR="00CD07F6" w:rsidRPr="00CD07F6" w:rsidRDefault="00CD07F6" w:rsidP="00CD07F6">
      <w:pPr>
        <w:autoSpaceDE w:val="0"/>
        <w:autoSpaceDN w:val="0"/>
        <w:adjustRightInd w:val="0"/>
        <w:spacing w:before="4" w:after="0" w:line="312" w:lineRule="exact"/>
        <w:ind w:left="48" w:right="4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предоставление по запросам Администрации района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необходимых документов для подготовки проектов решений, договоров,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соглашений, иных документов; </w:t>
      </w:r>
    </w:p>
    <w:p w:rsidR="00CD07F6" w:rsidRPr="00CD07F6" w:rsidRDefault="00CD07F6" w:rsidP="00CD07F6">
      <w:pPr>
        <w:autoSpaceDE w:val="0"/>
        <w:autoSpaceDN w:val="0"/>
        <w:adjustRightInd w:val="0"/>
        <w:spacing w:before="4" w:after="0" w:line="312" w:lineRule="exact"/>
        <w:ind w:left="48" w:right="4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предоставление Администрации района имеющейся земельн</w:t>
      </w:r>
      <w:proofErr w:type="gram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кадастровой, землеустроительной и градостроительной документации, иных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документов и предоставление имеющейся информации, необходимой для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подготовки проектов решений, договоров, соглашений, иных документов по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управлению и распоряжению земельными участками, государственная собственность на которые не разграничена расположенными на территории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поселения. </w:t>
      </w:r>
    </w:p>
    <w:p w:rsidR="00CD07F6" w:rsidRPr="00CD07F6" w:rsidRDefault="00CD07F6" w:rsidP="00CD07F6">
      <w:pPr>
        <w:autoSpaceDE w:val="0"/>
        <w:autoSpaceDN w:val="0"/>
        <w:adjustRightInd w:val="0"/>
        <w:spacing w:after="0" w:line="312" w:lineRule="exact"/>
        <w:ind w:left="66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Обязанности Администрации района: </w:t>
      </w:r>
    </w:p>
    <w:p w:rsidR="00CD07F6" w:rsidRPr="00CD07F6" w:rsidRDefault="00CD07F6" w:rsidP="00CD07F6">
      <w:pPr>
        <w:autoSpaceDE w:val="0"/>
        <w:autoSpaceDN w:val="0"/>
        <w:adjustRightInd w:val="0"/>
        <w:spacing w:before="4" w:after="0" w:line="307" w:lineRule="exact"/>
        <w:ind w:left="43" w:right="29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2.2.1. обеспечение подготовки проектов документов по вопросам управления и распоряжения земельными участками, государственная собственность на которые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разграничена, расположенными на территории поселения, предусмотренных в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пункте 1.1 настоящего Соглашения, в соответствии с законодательством Российской Федерации и Республики Башкортостан в рамках настоящего Соглашения; </w:t>
      </w:r>
      <w:proofErr w:type="gramEnd"/>
    </w:p>
    <w:p w:rsidR="00CD07F6" w:rsidRPr="00CD07F6" w:rsidRDefault="00CD07F6" w:rsidP="00CD07F6">
      <w:pPr>
        <w:autoSpaceDE w:val="0"/>
        <w:autoSpaceDN w:val="0"/>
        <w:adjustRightInd w:val="0"/>
        <w:spacing w:before="4" w:after="0" w:line="307" w:lineRule="exact"/>
        <w:ind w:left="43" w:right="29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предоставление Администрации поселения по запросу необходимой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информации по управлению и распоряжению земельными участками,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государственная собственность на которые не разграничена, расположенными на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территории поселения в рамках настоящего Соглашения; </w:t>
      </w:r>
    </w:p>
    <w:p w:rsidR="00CD07F6" w:rsidRPr="00CD07F6" w:rsidRDefault="00CD07F6" w:rsidP="00CD07F6">
      <w:pPr>
        <w:autoSpaceDE w:val="0"/>
        <w:autoSpaceDN w:val="0"/>
        <w:adjustRightInd w:val="0"/>
        <w:spacing w:before="4" w:after="0" w:line="307" w:lineRule="exact"/>
        <w:ind w:left="43" w:right="29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оказание консультативно-правовой помощи Администрации поселения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вопросам, связанным с осуществлением этими органами полномочий, переданных им федеральными законами и законами Республики Башкортостан. </w:t>
      </w:r>
    </w:p>
    <w:p w:rsidR="00CD07F6" w:rsidRPr="00CD07F6" w:rsidRDefault="00CD07F6" w:rsidP="00CD07F6">
      <w:pPr>
        <w:autoSpaceDE w:val="0"/>
        <w:autoSpaceDN w:val="0"/>
        <w:adjustRightInd w:val="0"/>
        <w:spacing w:before="288" w:after="0" w:line="288" w:lineRule="exact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D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действия и порядок прекращения Соглашения</w:t>
      </w:r>
    </w:p>
    <w:p w:rsidR="00CD07F6" w:rsidRPr="00CD07F6" w:rsidRDefault="00CD07F6" w:rsidP="00CD07F6">
      <w:pPr>
        <w:autoSpaceDE w:val="0"/>
        <w:autoSpaceDN w:val="0"/>
        <w:adjustRightInd w:val="0"/>
        <w:spacing w:before="283" w:after="0" w:line="312" w:lineRule="exact"/>
        <w:ind w:left="53" w:right="33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Настоящее Соглашение заключено сроком на период осуществления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полномочий Администрации поселения. </w:t>
      </w:r>
    </w:p>
    <w:p w:rsidR="00CD07F6" w:rsidRPr="00CD07F6" w:rsidRDefault="00CD07F6" w:rsidP="00CD07F6">
      <w:pPr>
        <w:autoSpaceDE w:val="0"/>
        <w:autoSpaceDN w:val="0"/>
        <w:adjustRightInd w:val="0"/>
        <w:spacing w:after="0" w:line="307" w:lineRule="exact"/>
        <w:ind w:left="24" w:right="47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Настоящее Соглашение прекращается досрочно по соглашению сторон.</w:t>
      </w:r>
    </w:p>
    <w:p w:rsidR="00CD07F6" w:rsidRPr="00CD07F6" w:rsidRDefault="00CD07F6" w:rsidP="00CD07F6">
      <w:pPr>
        <w:autoSpaceDE w:val="0"/>
        <w:autoSpaceDN w:val="0"/>
        <w:adjustRightInd w:val="0"/>
        <w:spacing w:after="0" w:line="307" w:lineRule="exact"/>
        <w:ind w:left="24" w:right="47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Сторона, принявшая решение о расторжении досрочно настоящего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Соглашения, направляет другой стороне уведомление за 30 дней до дня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предполагаемого расторжения и проект соглашения о расторжении. Сторона,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получившая уведомление и проект соглашения о расторжении, обязана направить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подписанное соглашение о расторжении или мотивированный отказ в течение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дней со дня получения. </w:t>
      </w:r>
    </w:p>
    <w:p w:rsidR="00CD07F6" w:rsidRPr="00CD07F6" w:rsidRDefault="00CD07F6" w:rsidP="00CD07F6">
      <w:pPr>
        <w:autoSpaceDE w:val="0"/>
        <w:autoSpaceDN w:val="0"/>
        <w:adjustRightInd w:val="0"/>
        <w:spacing w:before="312" w:after="0" w:line="283" w:lineRule="exact"/>
        <w:ind w:left="3264"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D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Ответственность сторон </w:t>
      </w:r>
    </w:p>
    <w:p w:rsidR="00CD07F6" w:rsidRPr="00CD07F6" w:rsidRDefault="00CD07F6" w:rsidP="00CD07F6">
      <w:pPr>
        <w:autoSpaceDE w:val="0"/>
        <w:autoSpaceDN w:val="0"/>
        <w:adjustRightInd w:val="0"/>
        <w:spacing w:before="287" w:after="0" w:line="307" w:lineRule="exact"/>
        <w:ind w:left="48" w:right="24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Стороны несут ответственность за неисполнение или ненадлежащее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исполнение обязанностей, предусмотренных настоящим Соглашением в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соответствии с законодательством Российской Федерации и Республики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Башкортостан. </w:t>
      </w:r>
    </w:p>
    <w:p w:rsidR="00CD07F6" w:rsidRPr="00CD07F6" w:rsidRDefault="00CD07F6" w:rsidP="00CD07F6">
      <w:pPr>
        <w:autoSpaceDE w:val="0"/>
        <w:autoSpaceDN w:val="0"/>
        <w:adjustRightInd w:val="0"/>
        <w:spacing w:before="302" w:after="0" w:line="283" w:lineRule="exact"/>
        <w:ind w:left="3264"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D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Заключительные условия </w:t>
      </w:r>
    </w:p>
    <w:p w:rsidR="00CD07F6" w:rsidRPr="00CD07F6" w:rsidRDefault="00CD07F6" w:rsidP="00CD07F6">
      <w:pPr>
        <w:autoSpaceDE w:val="0"/>
        <w:autoSpaceDN w:val="0"/>
        <w:adjustRightInd w:val="0"/>
        <w:spacing w:before="296" w:after="0" w:line="307" w:lineRule="exact"/>
        <w:ind w:left="48" w:right="9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Настоящее Соглашение вступает в силу со дня его подписания сторонами,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решениями их представительных органов и распространяет свое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действие на </w:t>
      </w:r>
      <w:proofErr w:type="gram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proofErr w:type="gram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11 февраля 2016 года. </w:t>
      </w:r>
    </w:p>
    <w:p w:rsidR="00CD07F6" w:rsidRPr="00CD07F6" w:rsidRDefault="00CD07F6" w:rsidP="00CD07F6">
      <w:pPr>
        <w:autoSpaceDE w:val="0"/>
        <w:autoSpaceDN w:val="0"/>
        <w:adjustRightInd w:val="0"/>
        <w:spacing w:after="0" w:line="312" w:lineRule="exact"/>
        <w:ind w:left="53" w:right="14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Изменения и дополнения к настоящему Соглашению оформляются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дополнительным Соглашением сторон. </w:t>
      </w:r>
    </w:p>
    <w:p w:rsidR="00CD07F6" w:rsidRPr="00CD07F6" w:rsidRDefault="00CD07F6" w:rsidP="00CD07F6">
      <w:pPr>
        <w:autoSpaceDE w:val="0"/>
        <w:autoSpaceDN w:val="0"/>
        <w:adjustRightInd w:val="0"/>
        <w:spacing w:after="0" w:line="312" w:lineRule="exact"/>
        <w:ind w:left="53" w:right="14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Соглашение заключено в 2-х экземплярах, имеющих одинаковую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юридическую силу. </w:t>
      </w:r>
    </w:p>
    <w:p w:rsidR="00CD07F6" w:rsidRPr="00CD07F6" w:rsidRDefault="00CD07F6" w:rsidP="00CD07F6">
      <w:pPr>
        <w:autoSpaceDE w:val="0"/>
        <w:autoSpaceDN w:val="0"/>
        <w:adjustRightInd w:val="0"/>
        <w:spacing w:before="4" w:after="0" w:line="307" w:lineRule="exact"/>
        <w:ind w:left="48" w:right="9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Администрация района может осуществлять выполнение предмета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настоящего соглашения в рамках соглашений, заключенных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Гафурийскому</w:t>
      </w:r>
      <w:proofErr w:type="spellEnd"/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</w:p>
    <w:p w:rsidR="00CD07F6" w:rsidRPr="00CD07F6" w:rsidRDefault="00CD07F6" w:rsidP="00CD07F6">
      <w:pPr>
        <w:autoSpaceDE w:val="0"/>
        <w:autoSpaceDN w:val="0"/>
        <w:adjustRightInd w:val="0"/>
        <w:spacing w:before="4" w:after="0" w:line="312" w:lineRule="exact"/>
        <w:ind w:left="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Все споры и разногласия, возникающие между сторонами при исполнении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настоящего Соглашения, будут разрешаться путем переговоров. При не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урегулировании сторонами в досудебном порядке, спор передается на разрешение в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Арбитражный суд согласно порядку установленному законодательством. </w:t>
      </w:r>
    </w:p>
    <w:p w:rsidR="00CD07F6" w:rsidRPr="00CD07F6" w:rsidRDefault="00CD07F6" w:rsidP="00CD07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Вопросы, не урегулированные настоящим Соглашением, в том числе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финансового обеспечения выполнения функций, регулируется отдельными актами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муниципальных образований, Соглашениями, принятыми в соответствии с </w:t>
      </w:r>
      <w:r w:rsidRPr="00CD0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действующим законодательством. </w:t>
      </w:r>
    </w:p>
    <w:p w:rsidR="00CD07F6" w:rsidRPr="00CD07F6" w:rsidRDefault="00CD07F6" w:rsidP="00CD07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57"/>
        <w:tblW w:w="10422" w:type="dxa"/>
        <w:tblLayout w:type="fixed"/>
        <w:tblLook w:val="0000" w:firstRow="0" w:lastRow="0" w:firstColumn="0" w:lastColumn="0" w:noHBand="0" w:noVBand="0"/>
      </w:tblPr>
      <w:tblGrid>
        <w:gridCol w:w="4898"/>
        <w:gridCol w:w="241"/>
        <w:gridCol w:w="5283"/>
      </w:tblGrid>
      <w:tr w:rsidR="00CD07F6" w:rsidRPr="00CD07F6" w:rsidTr="000054C8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4898" w:type="dxa"/>
          </w:tcPr>
          <w:p w:rsidR="00CD07F6" w:rsidRPr="00CD07F6" w:rsidRDefault="00CD07F6" w:rsidP="00CD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Бельский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сельсовет муниципального района 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Башкортостан</w:t>
            </w:r>
          </w:p>
          <w:p w:rsidR="00CD07F6" w:rsidRPr="00CD07F6" w:rsidRDefault="00CD07F6" w:rsidP="00CD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453057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Республика Башкортостан,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нзелга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д.24а</w:t>
            </w:r>
          </w:p>
          <w:p w:rsidR="00CD07F6" w:rsidRPr="00CD07F6" w:rsidRDefault="00CD07F6" w:rsidP="00CD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1020201252235</w:t>
            </w:r>
          </w:p>
          <w:p w:rsidR="00CD07F6" w:rsidRPr="00CD07F6" w:rsidRDefault="00CD07F6" w:rsidP="00CD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0219001333/021901001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</w:tcPr>
          <w:p w:rsidR="00CD07F6" w:rsidRPr="00CD07F6" w:rsidRDefault="00CD07F6" w:rsidP="00CD07F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</w:tcPr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Гафурийский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 Республики Башкортостан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453050, Республика Башкортостан,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расноусольский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</w:t>
            </w:r>
          </w:p>
          <w:p w:rsidR="00CD07F6" w:rsidRPr="00CD07F6" w:rsidRDefault="00CD07F6" w:rsidP="00CD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1050201554501</w:t>
            </w:r>
          </w:p>
          <w:p w:rsidR="00CD07F6" w:rsidRPr="00CD07F6" w:rsidRDefault="00CD07F6" w:rsidP="00CD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0219006123/021901001</w:t>
            </w:r>
          </w:p>
        </w:tc>
      </w:tr>
    </w:tbl>
    <w:p w:rsidR="00CD07F6" w:rsidRPr="00CD07F6" w:rsidRDefault="00CD07F6" w:rsidP="00CD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7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D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Местонахождение (юридический адрес) сторон и их реквизиты</w:t>
      </w:r>
    </w:p>
    <w:p w:rsidR="00CD07F6" w:rsidRPr="00CD07F6" w:rsidRDefault="00CD07F6" w:rsidP="00CD07F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0"/>
          <w:lang w:eastAsia="ru-RU"/>
        </w:rPr>
      </w:pPr>
      <w:r w:rsidRPr="00CD07F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Подписи сторон</w:t>
      </w:r>
    </w:p>
    <w:p w:rsidR="00CD07F6" w:rsidRPr="00CD07F6" w:rsidRDefault="00CD07F6" w:rsidP="00CD07F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35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70"/>
        <w:gridCol w:w="237"/>
        <w:gridCol w:w="5249"/>
      </w:tblGrid>
      <w:tr w:rsidR="00CD07F6" w:rsidRPr="00CD07F6" w:rsidTr="000054C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870" w:type="dxa"/>
          </w:tcPr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Бельский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Ахмеров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Юнир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Зинурович</w:t>
            </w:r>
            <w:proofErr w:type="spellEnd"/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М.П.                    </w:t>
            </w:r>
          </w:p>
        </w:tc>
        <w:tc>
          <w:tcPr>
            <w:tcW w:w="237" w:type="dxa"/>
          </w:tcPr>
          <w:p w:rsidR="00CD07F6" w:rsidRPr="00CD07F6" w:rsidRDefault="00CD07F6" w:rsidP="00CD07F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9" w:type="dxa"/>
          </w:tcPr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_______________________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</w:t>
            </w:r>
            <w:r w:rsidRPr="00CD07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CD07F6" w:rsidRPr="00CD07F6" w:rsidRDefault="00CD07F6" w:rsidP="00C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Бухаров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Закариевич</w:t>
            </w:r>
            <w:proofErr w:type="spellEnd"/>
          </w:p>
          <w:p w:rsidR="00CD07F6" w:rsidRPr="00CD07F6" w:rsidRDefault="00CD07F6" w:rsidP="00CD07F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07F6" w:rsidRPr="00CD07F6" w:rsidRDefault="00CD07F6" w:rsidP="00CD07F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</w:t>
            </w:r>
          </w:p>
        </w:tc>
      </w:tr>
    </w:tbl>
    <w:p w:rsidR="00CD07F6" w:rsidRPr="00CD07F6" w:rsidRDefault="00CD07F6" w:rsidP="00CD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63B" w:rsidRPr="00CD07F6" w:rsidRDefault="00C5163B"/>
    <w:sectPr w:rsidR="00C5163B" w:rsidRPr="00CD07F6" w:rsidSect="0023084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9F" w:rsidRDefault="00264BA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B5C9F" w:rsidRDefault="00264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F6"/>
    <w:rsid w:val="00264BAD"/>
    <w:rsid w:val="00C5163B"/>
    <w:rsid w:val="00C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2016-03-14T10:24:00Z</cp:lastPrinted>
  <dcterms:created xsi:type="dcterms:W3CDTF">2016-03-14T10:12:00Z</dcterms:created>
  <dcterms:modified xsi:type="dcterms:W3CDTF">2016-03-14T10:24:00Z</dcterms:modified>
</cp:coreProperties>
</file>